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Times New Roman" w:cs="Times New Roman" w:eastAsia="Times New Roman" w:hAnsi="Times New Roman"/>
          <w:sz w:val="20"/>
          <w:szCs w:val="20"/>
          <w:color w:val="auto"/>
        </w:rPr>
        <w:t>UNITED STATES</w:t>
      </w:r>
    </w:p>
    <w:p>
      <w:pPr>
        <w:spacing w:after="0" w:line="2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May 8, 2025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DENTSPLY SIRONA Inc.</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63" w:lineRule="exact"/>
        <w:rPr>
          <w:sz w:val="24"/>
          <w:szCs w:val="24"/>
          <w:color w:val="auto"/>
        </w:rPr>
      </w:pPr>
    </w:p>
    <w:tbl>
      <w:tblPr>
        <w:tblLayout w:type="fixed"/>
        <w:tblInd w:w="280" w:type="dxa"/>
        <w:tblCellMar>
          <w:top w:w="0" w:type="dxa"/>
          <w:left w:w="0" w:type="dxa"/>
          <w:bottom w:w="0" w:type="dxa"/>
          <w:right w:w="0" w:type="dxa"/>
        </w:tblCellMar>
      </w:tblPr>
      <w:tr>
        <w:trPr>
          <w:trHeight w:val="260"/>
        </w:trPr>
        <w:tc>
          <w:tcPr>
            <w:tcW w:w="3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80" w:type="dxa"/>
            <w:vAlign w:val="bottom"/>
          </w:tcPr>
          <w:p>
            <w:pPr>
              <w:spacing w:after="0"/>
              <w:rPr>
                <w:sz w:val="22"/>
                <w:szCs w:val="22"/>
                <w:color w:val="auto"/>
              </w:rPr>
            </w:pPr>
          </w:p>
        </w:tc>
        <w:tc>
          <w:tcPr>
            <w:tcW w:w="204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0-16211</w:t>
            </w: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39-1434669</w:t>
            </w:r>
          </w:p>
        </w:tc>
        <w:tc>
          <w:tcPr>
            <w:tcW w:w="0" w:type="dxa"/>
            <w:vAlign w:val="bottom"/>
          </w:tcPr>
          <w:p>
            <w:pPr>
              <w:spacing w:after="0"/>
              <w:rPr>
                <w:sz w:val="1"/>
                <w:szCs w:val="1"/>
                <w:color w:val="auto"/>
              </w:rPr>
            </w:pPr>
          </w:p>
        </w:tc>
      </w:tr>
      <w:tr>
        <w:trPr>
          <w:trHeight w:val="180"/>
        </w:trPr>
        <w:tc>
          <w:tcPr>
            <w:tcW w:w="352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12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430"/>
              <w:spacing w:after="0" w:line="18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organization)</w:t>
            </w:r>
          </w:p>
        </w:tc>
        <w:tc>
          <w:tcPr>
            <w:tcW w:w="3120" w:type="dxa"/>
            <w:vAlign w:val="bottom"/>
            <w:gridSpan w:val="2"/>
            <w:vMerge w:val="continue"/>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13320 Ballantyne Corporate Place,</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Charlotte</w:t>
            </w:r>
          </w:p>
        </w:tc>
        <w:tc>
          <w:tcPr>
            <w:tcW w:w="2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28277-3607</w:t>
            </w:r>
          </w:p>
        </w:tc>
        <w:tc>
          <w:tcPr>
            <w:tcW w:w="0" w:type="dxa"/>
            <w:vAlign w:val="bottom"/>
          </w:tcPr>
          <w:p>
            <w:pPr>
              <w:spacing w:after="0"/>
              <w:rPr>
                <w:sz w:val="1"/>
                <w:szCs w:val="1"/>
                <w:color w:val="auto"/>
              </w:rPr>
            </w:pPr>
          </w:p>
        </w:tc>
      </w:tr>
      <w:tr>
        <w:trPr>
          <w:trHeight w:val="256"/>
        </w:trPr>
        <w:tc>
          <w:tcPr>
            <w:tcW w:w="46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22"/>
                <w:szCs w:val="22"/>
                <w:color w:val="auto"/>
              </w:rPr>
            </w:pP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848-0137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25"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XRAY</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2025, DENTSPLY SIRONA Inc. (the “Company”) issued a press release regarding the Company’s financial results for its first fiscal quarter ended March 31, 2025. A copy of the Company’s press release is furnished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pursuant to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8, 2025, the Company announced that Herman V. Cueto completed his assignment as the Company’s interim Chief Financial Officer and is no longer under contract with the Company. Simon D. Campion, the Company’s President and Chief Executive Officer, will continue to serve as the Company’s principal financial officer until the Company appoints a permanent Chief Financial Officer.</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w w:val="99"/>
              </w:rPr>
              <w:t>(d) Exhibits:</w:t>
            </w:r>
          </w:p>
        </w:tc>
        <w:tc>
          <w:tcPr>
            <w:tcW w:w="90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7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DENTSPLY SIRONA Inc. Press release issued May 8, 2025, as referenced in Item 2.02</w:t>
            </w:r>
          </w:p>
        </w:tc>
      </w:tr>
      <w:tr>
        <w:trPr>
          <w:trHeight w:val="35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DENTSPLY SIRONA Inc.</w:t>
      </w:r>
    </w:p>
    <w:p>
      <w:pPr>
        <w:spacing w:after="0" w:line="291" w:lineRule="exact"/>
        <w:rPr>
          <w:sz w:val="20"/>
          <w:szCs w:val="20"/>
          <w:color w:val="auto"/>
        </w:rPr>
      </w:pPr>
    </w:p>
    <w:p>
      <w:pPr>
        <w:ind w:left="4600"/>
        <w:spacing w:after="0"/>
        <w:tabs>
          <w:tab w:leader="none" w:pos="4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Richard C. Rosenzweig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18415</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Richard C. Rosenzweig</w:t>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Executive Vice President, Corporate</w:t>
      </w:r>
    </w:p>
    <w:p>
      <w:pPr>
        <w:ind w:left="5000"/>
        <w:spacing w:after="0"/>
        <w:rPr>
          <w:sz w:val="20"/>
          <w:szCs w:val="20"/>
          <w:color w:val="auto"/>
        </w:rPr>
      </w:pPr>
      <w:r>
        <w:rPr>
          <w:rFonts w:ascii="Times New Roman" w:cs="Times New Roman" w:eastAsia="Times New Roman" w:hAnsi="Times New Roman"/>
          <w:sz w:val="18"/>
          <w:szCs w:val="18"/>
          <w:color w:val="auto"/>
        </w:rPr>
        <w:t>Development,</w:t>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ectPr>
          <w:pgSz w:w="11900" w:h="16838" w:orient="portrait"/>
          <w:cols w:equalWidth="0" w:num="1">
            <w:col w:w="11220"/>
          </w:cols>
          <w:pgMar w:left="320" w:top="900" w:right="359" w:bottom="1440" w:gutter="0" w:footer="0" w:header="0"/>
        </w:sectPr>
      </w:pPr>
    </w:p>
    <w:bookmarkStart w:id="3" w:name="page4"/>
    <w:bookmarkEnd w:id="3"/>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6277610</wp:posOffset>
            </wp:positionH>
            <wp:positionV relativeFrom="page">
              <wp:posOffset>603250</wp:posOffset>
            </wp:positionV>
            <wp:extent cx="106299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0035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333F4C"/>
        </w:rPr>
        <w:t>Dentsply Sirona Reports First Quarter 2025 Results</w:t>
      </w:r>
    </w:p>
    <w:p>
      <w:pPr>
        <w:spacing w:after="0" w:line="168" w:lineRule="exact"/>
        <w:rPr>
          <w:sz w:val="20"/>
          <w:szCs w:val="20"/>
          <w:color w:val="auto"/>
        </w:rPr>
      </w:pPr>
    </w:p>
    <w:p>
      <w:pPr>
        <w:ind w:left="480" w:hanging="229"/>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 of $879 million decreased (7.7%), organic sales decreased (4.4%) including a (4.0%) Byte sales impact</w:t>
      </w:r>
    </w:p>
    <w:p>
      <w:pPr>
        <w:spacing w:after="0" w:line="27" w:lineRule="exact"/>
        <w:rPr>
          <w:rFonts w:ascii="Arial" w:cs="Arial" w:eastAsia="Arial" w:hAnsi="Arial"/>
          <w:sz w:val="18"/>
          <w:szCs w:val="18"/>
          <w:b w:val="1"/>
          <w:bCs w:val="1"/>
          <w:color w:val="auto"/>
        </w:rPr>
      </w:pPr>
    </w:p>
    <w:p>
      <w:pPr>
        <w:ind w:left="480" w:hanging="229"/>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GAAP gross margin of 53.0%, GAAP net income of $20 million or $0.10 per share</w:t>
      </w:r>
    </w:p>
    <w:p>
      <w:pPr>
        <w:spacing w:after="0" w:line="9" w:lineRule="exact"/>
        <w:rPr>
          <w:rFonts w:ascii="Arial" w:cs="Arial" w:eastAsia="Arial" w:hAnsi="Arial"/>
          <w:sz w:val="18"/>
          <w:szCs w:val="18"/>
          <w:b w:val="1"/>
          <w:bCs w:val="1"/>
          <w:color w:val="auto"/>
        </w:rPr>
      </w:pPr>
    </w:p>
    <w:p>
      <w:pPr>
        <w:ind w:left="480" w:hanging="229"/>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Adjusted gross margin of 56.3%, adjusted EBITDA margin of 19.0%, adjusted EPS of $0.43</w:t>
      </w:r>
    </w:p>
    <w:p>
      <w:pPr>
        <w:spacing w:after="0" w:line="9" w:lineRule="exact"/>
        <w:rPr>
          <w:rFonts w:ascii="Arial" w:cs="Arial" w:eastAsia="Arial" w:hAnsi="Arial"/>
          <w:sz w:val="18"/>
          <w:szCs w:val="18"/>
          <w:b w:val="1"/>
          <w:bCs w:val="1"/>
          <w:color w:val="auto"/>
        </w:rPr>
      </w:pPr>
    </w:p>
    <w:p>
      <w:pPr>
        <w:ind w:left="480" w:hanging="229"/>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FY25 outlook for organic sales and adjusted EPS; increasing reported sales due to F/X changes</w:t>
      </w:r>
    </w:p>
    <w:p>
      <w:pPr>
        <w:spacing w:after="0" w:line="23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 xml:space="preserve">Charlotte, N.C., May 8, 2025 - </w:t>
      </w:r>
      <w:r>
        <w:rPr>
          <w:rFonts w:ascii="Arial" w:cs="Arial" w:eastAsia="Arial" w:hAnsi="Arial"/>
          <w:sz w:val="18"/>
          <w:szCs w:val="18"/>
          <w:color w:val="auto"/>
        </w:rPr>
        <w:t>DENTSPLY SIRONA Inc. ("Dentsply Sirona" or the "Company") (Nasdaq: XRAY) today announced its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first quarter of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net sales of $879 million decreased (7.7%) (organic sales decreased (4.4%)) compared to the first quarter of 2024. Foreign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currency changes negatively impacted first quarter 2025 net sales by approximately ($30) million. Net income was $20 million, or $0.10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compared to a net income of $18 million, or $0.09 per share in the first quarter of 2024. Adjusted earnings per diluted share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$0.43, compared to $0.42 in the first quarter of 2024. A reconciliation of Non-GAAP measures (including organic sales, adjusted EBITDA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margin, adjusted EPS, adjusted free cash flow conversion, and segment adjusted operating income) to GAAP measures is provided below.</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first quarter, organic sales were roughly flat excluding the Byte sales impact, with growth in two of our three regions. Adjusted EBITDA margin expanded which primarily reflects the benefits from our transformational initiatives and internal financial discipline. We are delivering progress through customer-centric innovation, customer experience improvements, and operational efficiency, while operating in an increasingly uncertain macroeconomic environment," said Simon Campion, President and Chief Executive Officer. "Looking forward, we are maintaining our outlook for organic sales and adjusted EPS and will continue to focus on improving what is within our control to deliver sustainable long-term performance."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25 Summary Results (GAAP)</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 and percentages)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Q1 25</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7"/>
              </w:rPr>
              <w:t>Q1 24</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42"/>
        </w:trPr>
        <w:tc>
          <w:tcPr>
            <w:tcW w:w="316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DFFCC"/>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DFFCC"/>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DFFCC"/>
          </w:tcPr>
          <w:p>
            <w:pPr>
              <w:spacing w:after="0"/>
              <w:rPr>
                <w:sz w:val="19"/>
                <w:szCs w:val="19"/>
                <w:color w:val="auto"/>
              </w:rPr>
            </w:pP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$879</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$953</w:t>
            </w:r>
          </w:p>
        </w:tc>
        <w:tc>
          <w:tcPr>
            <w:tcW w:w="1320" w:type="dxa"/>
            <w:vAlign w:val="bottom"/>
            <w:shd w:val="clear" w:color="auto" w:fill="CCFFCC"/>
          </w:tcPr>
          <w:p>
            <w:pPr>
              <w:jc w:val="right"/>
              <w:ind w:right="31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$466</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$506</w:t>
            </w:r>
          </w:p>
        </w:tc>
        <w:tc>
          <w:tcPr>
            <w:tcW w:w="1320" w:type="dxa"/>
            <w:vAlign w:val="bottom"/>
          </w:tcPr>
          <w:p>
            <w:pPr>
              <w:jc w:val="right"/>
              <w:ind w:right="310"/>
              <w:spacing w:after="0"/>
              <w:rPr>
                <w:sz w:val="20"/>
                <w:szCs w:val="20"/>
                <w:color w:val="auto"/>
              </w:rPr>
            </w:pPr>
            <w:r>
              <w:rPr>
                <w:rFonts w:ascii="Arial" w:cs="Arial" w:eastAsia="Arial" w:hAnsi="Arial"/>
                <w:sz w:val="18"/>
                <w:szCs w:val="18"/>
                <w:i w:val="1"/>
                <w:iCs w:val="1"/>
                <w:color w:val="auto"/>
              </w:rPr>
              <w:t>(7.9%)</w:t>
            </w: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DFFCC"/>
          </w:tcPr>
          <w:p>
            <w:pPr>
              <w:ind w:left="2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rPr>
              <w:t>53.0%</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rPr>
              <w:t>53.1%</w:t>
            </w:r>
          </w:p>
        </w:tc>
        <w:tc>
          <w:tcPr>
            <w:tcW w:w="132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Dentsply Sirona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1320" w:type="dxa"/>
            <w:vAlign w:val="bottom"/>
          </w:tcPr>
          <w:p>
            <w:pPr>
              <w:jc w:val="center"/>
              <w:spacing w:after="0"/>
              <w:rPr>
                <w:sz w:val="20"/>
                <w:szCs w:val="20"/>
                <w:color w:val="auto"/>
              </w:rPr>
            </w:pPr>
            <w:r>
              <w:rPr>
                <w:rFonts w:ascii="Arial" w:cs="Arial" w:eastAsia="Arial" w:hAnsi="Arial"/>
                <w:sz w:val="18"/>
                <w:szCs w:val="18"/>
                <w:i w:val="1"/>
                <w:iCs w:val="1"/>
                <w:color w:val="auto"/>
                <w:w w:val="99"/>
              </w:rPr>
              <w:t>NM</w:t>
            </w:r>
          </w:p>
        </w:tc>
        <w:tc>
          <w:tcPr>
            <w:tcW w:w="0" w:type="dxa"/>
            <w:vAlign w:val="bottom"/>
          </w:tcPr>
          <w:p>
            <w:pPr>
              <w:spacing w:after="0"/>
              <w:rPr>
                <w:sz w:val="1"/>
                <w:szCs w:val="1"/>
                <w:color w:val="auto"/>
              </w:rPr>
            </w:pPr>
          </w:p>
        </w:tc>
      </w:tr>
      <w:tr>
        <w:trPr>
          <w:trHeight w:val="229"/>
        </w:trPr>
        <w:tc>
          <w:tcPr>
            <w:tcW w:w="7080" w:type="dxa"/>
            <w:vAlign w:val="bottom"/>
            <w:gridSpan w:val="3"/>
            <w:shd w:val="clear" w:color="auto" w:fill="CDFFCC"/>
          </w:tcPr>
          <w:p>
            <w:pPr>
              <w:ind w:left="20"/>
              <w:spacing w:after="0"/>
              <w:rPr>
                <w:sz w:val="20"/>
                <w:szCs w:val="20"/>
                <w:color w:val="auto"/>
              </w:rPr>
            </w:pPr>
            <w:r>
              <w:rPr>
                <w:rFonts w:ascii="Arial" w:cs="Arial" w:eastAsia="Arial" w:hAnsi="Arial"/>
                <w:sz w:val="18"/>
                <w:szCs w:val="18"/>
                <w:color w:val="auto"/>
              </w:rPr>
              <w:t>Diluted Earnings Per Share</w:t>
            </w: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7"/>
              </w:rPr>
              <w:t>$0.10</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7"/>
              </w:rPr>
              <w:t>$0.09</w:t>
            </w:r>
          </w:p>
        </w:tc>
        <w:tc>
          <w:tcPr>
            <w:tcW w:w="132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w w:val="99"/>
              </w:rPr>
              <w:t>NM</w:t>
            </w:r>
          </w:p>
        </w:tc>
        <w:tc>
          <w:tcPr>
            <w:tcW w:w="0" w:type="dxa"/>
            <w:vAlign w:val="bottom"/>
          </w:tcPr>
          <w:p>
            <w:pPr>
              <w:spacing w:after="0"/>
              <w:rPr>
                <w:sz w:val="1"/>
                <w:szCs w:val="1"/>
                <w:color w:val="auto"/>
              </w:rPr>
            </w:pPr>
          </w:p>
        </w:tc>
      </w:tr>
      <w:tr>
        <w:trPr>
          <w:trHeight w:val="756"/>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Q1 25 Summary Results (Non-GAAP)</w:t>
            </w:r>
            <w:r>
              <w:rPr>
                <w:rFonts w:ascii="Arial" w:cs="Arial" w:eastAsia="Arial" w:hAnsi="Arial"/>
                <w:sz w:val="23"/>
                <w:szCs w:val="23"/>
                <w:color w:val="auto"/>
                <w:vertAlign w:val="superscript"/>
              </w:rPr>
              <w:t>[1]</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Q1 25</w:t>
            </w: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Q1 24</w:t>
            </w: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line="20" w:lineRule="exact"/>
              <w:rPr>
                <w:sz w:val="1"/>
                <w:szCs w:val="1"/>
                <w:color w:val="auto"/>
              </w:rPr>
            </w:pPr>
          </w:p>
        </w:tc>
      </w:tr>
      <w:tr>
        <w:trPr>
          <w:trHeight w:val="289"/>
        </w:trPr>
        <w:tc>
          <w:tcPr>
            <w:tcW w:w="7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 and percentages)</w:t>
            </w:r>
          </w:p>
        </w:tc>
        <w:tc>
          <w:tcPr>
            <w:tcW w:w="13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080" w:type="dxa"/>
            <w:vAlign w:val="bottom"/>
            <w:gridSpan w:val="3"/>
          </w:tcPr>
          <w:p>
            <w:pPr>
              <w:spacing w:after="0"/>
              <w:rPr>
                <w:sz w:val="3"/>
                <w:szCs w:val="3"/>
                <w:color w:val="auto"/>
              </w:rPr>
            </w:pPr>
          </w:p>
        </w:tc>
        <w:tc>
          <w:tcPr>
            <w:tcW w:w="13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gridSpan w:val="2"/>
            <w:shd w:val="clear" w:color="auto" w:fill="CDFFCC"/>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DFFCC"/>
            </w:tcBorders>
            <w:shd w:val="clear" w:color="auto" w:fill="CDFFCC"/>
          </w:tcPr>
          <w:p>
            <w:pPr>
              <w:spacing w:after="0"/>
              <w:rPr>
                <w:sz w:val="19"/>
                <w:szCs w:val="19"/>
                <w:color w:val="auto"/>
              </w:rPr>
            </w:pPr>
          </w:p>
        </w:tc>
        <w:tc>
          <w:tcPr>
            <w:tcW w:w="1380" w:type="dxa"/>
            <w:vAlign w:val="bottom"/>
            <w:tcBorders>
              <w:top w:val="single" w:sz="8" w:color="auto"/>
            </w:tcBorders>
            <w:shd w:val="clear" w:color="auto" w:fill="CDFFCC"/>
          </w:tcPr>
          <w:p>
            <w:pPr>
              <w:jc w:val="center"/>
              <w:spacing w:after="0"/>
              <w:rPr>
                <w:sz w:val="20"/>
                <w:szCs w:val="20"/>
                <w:color w:val="auto"/>
              </w:rPr>
            </w:pPr>
            <w:r>
              <w:rPr>
                <w:rFonts w:ascii="Arial" w:cs="Arial" w:eastAsia="Arial" w:hAnsi="Arial"/>
                <w:sz w:val="18"/>
                <w:szCs w:val="18"/>
                <w:color w:val="auto"/>
                <w:w w:val="99"/>
              </w:rPr>
              <w:t>$879</w:t>
            </w:r>
          </w:p>
        </w:tc>
        <w:tc>
          <w:tcPr>
            <w:tcW w:w="1460" w:type="dxa"/>
            <w:vAlign w:val="bottom"/>
            <w:tcBorders>
              <w:top w:val="single" w:sz="8" w:color="auto"/>
            </w:tcBorders>
            <w:shd w:val="clear" w:color="auto" w:fill="CDFFCC"/>
          </w:tcPr>
          <w:p>
            <w:pPr>
              <w:jc w:val="center"/>
              <w:spacing w:after="0"/>
              <w:rPr>
                <w:sz w:val="20"/>
                <w:szCs w:val="20"/>
                <w:color w:val="auto"/>
              </w:rPr>
            </w:pPr>
            <w:r>
              <w:rPr>
                <w:rFonts w:ascii="Arial" w:cs="Arial" w:eastAsia="Arial" w:hAnsi="Arial"/>
                <w:sz w:val="18"/>
                <w:szCs w:val="18"/>
                <w:color w:val="auto"/>
                <w:w w:val="99"/>
              </w:rPr>
              <w:t>$953</w:t>
            </w:r>
          </w:p>
        </w:tc>
        <w:tc>
          <w:tcPr>
            <w:tcW w:w="1320" w:type="dxa"/>
            <w:vAlign w:val="bottom"/>
            <w:tcBorders>
              <w:top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8"/>
                <w:szCs w:val="18"/>
                <w:i w:val="1"/>
                <w:iCs w:val="1"/>
                <w:color w:val="auto"/>
              </w:rPr>
              <w:t>Organic Sales Growth %</w:t>
            </w:r>
          </w:p>
        </w:tc>
        <w:tc>
          <w:tcPr>
            <w:tcW w:w="1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i w:val="1"/>
                <w:iCs w:val="1"/>
                <w:color w:val="auto"/>
              </w:rPr>
              <w:t>(4.4%)</w:t>
            </w: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DFFCC"/>
          </w:tcPr>
          <w:p>
            <w:pPr>
              <w:ind w:left="20"/>
              <w:spacing w:after="0"/>
              <w:rPr>
                <w:sz w:val="20"/>
                <w:szCs w:val="20"/>
                <w:color w:val="auto"/>
              </w:rPr>
            </w:pPr>
            <w:r>
              <w:rPr>
                <w:rFonts w:ascii="Arial" w:cs="Arial" w:eastAsia="Arial" w:hAnsi="Arial"/>
                <w:sz w:val="18"/>
                <w:szCs w:val="18"/>
                <w:color w:val="auto"/>
              </w:rPr>
              <w:t>Adjusted Gross Profit</w:t>
            </w: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$495</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$540</w:t>
            </w:r>
          </w:p>
        </w:tc>
        <w:tc>
          <w:tcPr>
            <w:tcW w:w="1320" w:type="dxa"/>
            <w:vAlign w:val="bottom"/>
            <w:shd w:val="clear" w:color="auto" w:fill="CDFFCC"/>
          </w:tcPr>
          <w:p>
            <w:pPr>
              <w:jc w:val="right"/>
              <w:ind w:right="310"/>
              <w:spacing w:after="0"/>
              <w:rPr>
                <w:sz w:val="20"/>
                <w:szCs w:val="20"/>
                <w:color w:val="auto"/>
              </w:rPr>
            </w:pPr>
            <w:r>
              <w:rPr>
                <w:rFonts w:ascii="Arial" w:cs="Arial" w:eastAsia="Arial" w:hAnsi="Arial"/>
                <w:sz w:val="18"/>
                <w:szCs w:val="18"/>
                <w:i w:val="1"/>
                <w:iCs w:val="1"/>
                <w:color w:val="auto"/>
              </w:rPr>
              <w:t>(8.3%)</w:t>
            </w:r>
          </w:p>
        </w:tc>
        <w:tc>
          <w:tcPr>
            <w:tcW w:w="0" w:type="dxa"/>
            <w:vAlign w:val="bottom"/>
          </w:tcPr>
          <w:p>
            <w:pPr>
              <w:spacing w:after="0"/>
              <w:rPr>
                <w:sz w:val="1"/>
                <w:szCs w:val="1"/>
                <w:color w:val="auto"/>
              </w:rPr>
            </w:pPr>
          </w:p>
        </w:tc>
      </w:tr>
      <w:tr>
        <w:trPr>
          <w:trHeight w:val="229"/>
        </w:trPr>
        <w:tc>
          <w:tcPr>
            <w:tcW w:w="7080" w:type="dxa"/>
            <w:vAlign w:val="bottom"/>
            <w:gridSpan w:val="3"/>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1380" w:type="dxa"/>
            <w:vAlign w:val="bottom"/>
          </w:tcPr>
          <w:p>
            <w:pPr>
              <w:jc w:val="center"/>
              <w:spacing w:after="0"/>
              <w:rPr>
                <w:sz w:val="20"/>
                <w:szCs w:val="20"/>
                <w:color w:val="auto"/>
              </w:rPr>
            </w:pPr>
            <w:r>
              <w:rPr>
                <w:rFonts w:ascii="Arial" w:cs="Arial" w:eastAsia="Arial" w:hAnsi="Arial"/>
                <w:sz w:val="18"/>
                <w:szCs w:val="18"/>
                <w:i w:val="1"/>
                <w:iCs w:val="1"/>
                <w:color w:val="auto"/>
              </w:rPr>
              <w:t>56.3%</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rPr>
              <w:t>56.6%</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DFFCC"/>
          </w:tcPr>
          <w:p>
            <w:pPr>
              <w:ind w:left="20"/>
              <w:spacing w:after="0"/>
              <w:rPr>
                <w:sz w:val="20"/>
                <w:szCs w:val="20"/>
                <w:color w:val="auto"/>
              </w:rPr>
            </w:pPr>
            <w:r>
              <w:rPr>
                <w:rFonts w:ascii="Arial" w:cs="Arial" w:eastAsia="Arial" w:hAnsi="Arial"/>
                <w:sz w:val="18"/>
                <w:szCs w:val="18"/>
                <w:color w:val="auto"/>
              </w:rPr>
              <w:t>Adjusted EBITDA</w:t>
            </w: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$168</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9"/>
              </w:rPr>
              <w:t>$160</w:t>
            </w:r>
          </w:p>
        </w:tc>
        <w:tc>
          <w:tcPr>
            <w:tcW w:w="1320" w:type="dxa"/>
            <w:vAlign w:val="bottom"/>
            <w:shd w:val="clear" w:color="auto" w:fill="CDFFCC"/>
          </w:tcPr>
          <w:p>
            <w:pPr>
              <w:jc w:val="right"/>
              <w:ind w:right="370"/>
              <w:spacing w:after="0"/>
              <w:rPr>
                <w:sz w:val="20"/>
                <w:szCs w:val="20"/>
                <w:color w:val="auto"/>
              </w:rPr>
            </w:pPr>
            <w:r>
              <w:rPr>
                <w:rFonts w:ascii="Arial" w:cs="Arial" w:eastAsia="Arial" w:hAnsi="Arial"/>
                <w:sz w:val="18"/>
                <w:szCs w:val="18"/>
                <w:i w:val="1"/>
                <w:iCs w:val="1"/>
                <w:color w:val="auto"/>
              </w:rPr>
              <w:t>4.2%</w:t>
            </w:r>
          </w:p>
        </w:tc>
        <w:tc>
          <w:tcPr>
            <w:tcW w:w="0" w:type="dxa"/>
            <w:vAlign w:val="bottom"/>
          </w:tcPr>
          <w:p>
            <w:pPr>
              <w:spacing w:after="0"/>
              <w:rPr>
                <w:sz w:val="1"/>
                <w:szCs w:val="1"/>
                <w:color w:val="auto"/>
              </w:rPr>
            </w:pP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1380" w:type="dxa"/>
            <w:vAlign w:val="bottom"/>
          </w:tcPr>
          <w:p>
            <w:pPr>
              <w:jc w:val="center"/>
              <w:spacing w:after="0"/>
              <w:rPr>
                <w:sz w:val="20"/>
                <w:szCs w:val="20"/>
                <w:color w:val="auto"/>
              </w:rPr>
            </w:pPr>
            <w:r>
              <w:rPr>
                <w:rFonts w:ascii="Arial" w:cs="Arial" w:eastAsia="Arial" w:hAnsi="Arial"/>
                <w:sz w:val="18"/>
                <w:szCs w:val="18"/>
                <w:i w:val="1"/>
                <w:iCs w:val="1"/>
                <w:color w:val="auto"/>
              </w:rPr>
              <w:t>19.0%</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rPr>
              <w:t>16.8%</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DFFCC"/>
          </w:tcPr>
          <w:p>
            <w:pPr>
              <w:ind w:left="20"/>
              <w:spacing w:after="0"/>
              <w:rPr>
                <w:sz w:val="20"/>
                <w:szCs w:val="20"/>
                <w:color w:val="auto"/>
              </w:rPr>
            </w:pPr>
            <w:r>
              <w:rPr>
                <w:rFonts w:ascii="Arial" w:cs="Arial" w:eastAsia="Arial" w:hAnsi="Arial"/>
                <w:sz w:val="18"/>
                <w:szCs w:val="18"/>
                <w:color w:val="auto"/>
              </w:rPr>
              <w:t>Adjusted EPS</w:t>
            </w:r>
          </w:p>
        </w:tc>
        <w:tc>
          <w:tcPr>
            <w:tcW w:w="138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7"/>
              </w:rPr>
              <w:t>$0.43</w:t>
            </w:r>
          </w:p>
        </w:tc>
        <w:tc>
          <w:tcPr>
            <w:tcW w:w="1460" w:type="dxa"/>
            <w:vAlign w:val="bottom"/>
            <w:shd w:val="clear" w:color="auto" w:fill="CDFFCC"/>
          </w:tcPr>
          <w:p>
            <w:pPr>
              <w:jc w:val="center"/>
              <w:spacing w:after="0"/>
              <w:rPr>
                <w:sz w:val="20"/>
                <w:szCs w:val="20"/>
                <w:color w:val="auto"/>
              </w:rPr>
            </w:pPr>
            <w:r>
              <w:rPr>
                <w:rFonts w:ascii="Arial" w:cs="Arial" w:eastAsia="Arial" w:hAnsi="Arial"/>
                <w:sz w:val="18"/>
                <w:szCs w:val="18"/>
                <w:color w:val="auto"/>
                <w:w w:val="97"/>
              </w:rPr>
              <w:t>$0.42</w:t>
            </w:r>
          </w:p>
        </w:tc>
        <w:tc>
          <w:tcPr>
            <w:tcW w:w="1320" w:type="dxa"/>
            <w:vAlign w:val="bottom"/>
            <w:shd w:val="clear" w:color="auto" w:fill="CDFFCC"/>
          </w:tcPr>
          <w:p>
            <w:pPr>
              <w:jc w:val="right"/>
              <w:ind w:right="370"/>
              <w:spacing w:after="0"/>
              <w:rPr>
                <w:sz w:val="20"/>
                <w:szCs w:val="20"/>
                <w:color w:val="auto"/>
              </w:rPr>
            </w:pPr>
            <w:r>
              <w:rPr>
                <w:rFonts w:ascii="Arial" w:cs="Arial" w:eastAsia="Arial" w:hAnsi="Arial"/>
                <w:sz w:val="18"/>
                <w:szCs w:val="18"/>
                <w:i w:val="1"/>
                <w:iCs w:val="1"/>
                <w:color w:val="auto"/>
              </w:rPr>
              <w:t>3.7%</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 not meaningful</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p>
      <w:pPr>
        <w:ind w:left="120" w:hanging="112"/>
        <w:spacing w:after="0" w:line="209" w:lineRule="auto"/>
        <w:tabs>
          <w:tab w:leader="none" w:pos="12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Organic sales growth, adjusted gross profit, adjusted EBITDA, and adjusted EPS are Non-GAAP financial measures which exclude certain items. Please refer to "Non-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auto"/>
        </w:rPr>
        <w:t>GAAP Financial Measures" below for a description of these measures and to the tables at the end of this release for a reconciliation between GAAP and Non-GAAP measures.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Q1 25 Segment Results</w:t>
            </w:r>
          </w:p>
        </w:tc>
        <w:tc>
          <w:tcPr>
            <w:tcW w:w="29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Net Sales Growth %</w:t>
            </w:r>
          </w:p>
        </w:tc>
        <w:tc>
          <w:tcPr>
            <w:tcW w:w="28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Organic Sales Growth %</w:t>
            </w:r>
          </w:p>
        </w:tc>
        <w:tc>
          <w:tcPr>
            <w:tcW w:w="0" w:type="dxa"/>
            <w:vAlign w:val="bottom"/>
          </w:tcPr>
          <w:p>
            <w:pPr>
              <w:spacing w:after="0"/>
              <w:rPr>
                <w:sz w:val="1"/>
                <w:szCs w:val="1"/>
                <w:color w:val="auto"/>
              </w:rPr>
            </w:pPr>
          </w:p>
        </w:tc>
      </w:tr>
      <w:tr>
        <w:trPr>
          <w:trHeight w:val="250"/>
        </w:trPr>
        <w:tc>
          <w:tcPr>
            <w:tcW w:w="20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4"/>
            <w:vMerge w:val="continue"/>
          </w:tcPr>
          <w:p>
            <w:pPr>
              <w:spacing w:after="0"/>
              <w:rPr>
                <w:sz w:val="21"/>
                <w:szCs w:val="21"/>
                <w:color w:val="auto"/>
              </w:rPr>
            </w:pPr>
          </w:p>
        </w:tc>
        <w:tc>
          <w:tcPr>
            <w:tcW w:w="2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9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gridSpan w:val="6"/>
            <w:shd w:val="clear" w:color="auto" w:fill="CDFFCC"/>
          </w:tcPr>
          <w:p>
            <w:pPr>
              <w:ind w:left="20"/>
              <w:spacing w:after="0"/>
              <w:rPr>
                <w:sz w:val="20"/>
                <w:szCs w:val="20"/>
                <w:color w:val="auto"/>
              </w:rPr>
            </w:pPr>
            <w:r>
              <w:rPr>
                <w:rFonts w:ascii="Arial" w:cs="Arial" w:eastAsia="Arial" w:hAnsi="Arial"/>
                <w:sz w:val="18"/>
                <w:szCs w:val="18"/>
                <w:color w:val="auto"/>
              </w:rPr>
              <w:t>Connected Technology Solutions</w:t>
            </w:r>
          </w:p>
        </w:tc>
        <w:tc>
          <w:tcPr>
            <w:tcW w:w="280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w w:val="98"/>
              </w:rPr>
              <w:t>(4.7%)</w:t>
            </w: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286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rPr>
              <w:t>(0.5%)</w:t>
            </w:r>
          </w:p>
        </w:tc>
        <w:tc>
          <w:tcPr>
            <w:tcW w:w="0" w:type="dxa"/>
            <w:vAlign w:val="bottom"/>
          </w:tcPr>
          <w:p>
            <w:pPr>
              <w:spacing w:after="0"/>
              <w:rPr>
                <w:sz w:val="1"/>
                <w:szCs w:val="1"/>
                <w:color w:val="auto"/>
              </w:rPr>
            </w:pPr>
          </w:p>
        </w:tc>
      </w:tr>
      <w:tr>
        <w:trPr>
          <w:trHeight w:val="229"/>
        </w:trPr>
        <w:tc>
          <w:tcPr>
            <w:tcW w:w="5400" w:type="dxa"/>
            <w:vAlign w:val="bottom"/>
            <w:gridSpan w:val="6"/>
          </w:tcPr>
          <w:p>
            <w:pPr>
              <w:ind w:left="20"/>
              <w:spacing w:after="0"/>
              <w:rPr>
                <w:sz w:val="20"/>
                <w:szCs w:val="20"/>
                <w:color w:val="auto"/>
              </w:rPr>
            </w:pPr>
            <w:r>
              <w:rPr>
                <w:rFonts w:ascii="Arial" w:cs="Arial" w:eastAsia="Arial" w:hAnsi="Arial"/>
                <w:sz w:val="18"/>
                <w:szCs w:val="18"/>
                <w:color w:val="auto"/>
              </w:rPr>
              <w:t>Essential Dental Solutions</w:t>
            </w:r>
          </w:p>
        </w:tc>
        <w:tc>
          <w:tcPr>
            <w:tcW w:w="2800" w:type="dxa"/>
            <w:vAlign w:val="bottom"/>
          </w:tcPr>
          <w:p>
            <w:pPr>
              <w:jc w:val="center"/>
              <w:spacing w:after="0"/>
              <w:rPr>
                <w:sz w:val="20"/>
                <w:szCs w:val="20"/>
                <w:color w:val="auto"/>
              </w:rPr>
            </w:pPr>
            <w:r>
              <w:rPr>
                <w:rFonts w:ascii="Arial" w:cs="Arial" w:eastAsia="Arial" w:hAnsi="Arial"/>
                <w:sz w:val="18"/>
                <w:szCs w:val="18"/>
                <w:i w:val="1"/>
                <w:iCs w:val="1"/>
                <w:color w:val="auto"/>
                <w:w w:val="98"/>
              </w:rPr>
              <w:t>(2.7%)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rPr>
              <w:t>0.4%</w:t>
            </w:r>
          </w:p>
        </w:tc>
        <w:tc>
          <w:tcPr>
            <w:tcW w:w="0" w:type="dxa"/>
            <w:vAlign w:val="bottom"/>
          </w:tcPr>
          <w:p>
            <w:pPr>
              <w:spacing w:after="0"/>
              <w:rPr>
                <w:sz w:val="1"/>
                <w:szCs w:val="1"/>
                <w:color w:val="auto"/>
              </w:rPr>
            </w:pPr>
          </w:p>
        </w:tc>
      </w:tr>
      <w:tr>
        <w:trPr>
          <w:trHeight w:val="230"/>
        </w:trPr>
        <w:tc>
          <w:tcPr>
            <w:tcW w:w="5400" w:type="dxa"/>
            <w:vAlign w:val="bottom"/>
            <w:gridSpan w:val="6"/>
            <w:shd w:val="clear" w:color="auto" w:fill="CDFFCC"/>
          </w:tcPr>
          <w:p>
            <w:pPr>
              <w:ind w:left="20"/>
              <w:spacing w:after="0"/>
              <w:rPr>
                <w:sz w:val="20"/>
                <w:szCs w:val="20"/>
                <w:color w:val="auto"/>
              </w:rPr>
            </w:pPr>
            <w:r>
              <w:rPr>
                <w:rFonts w:ascii="Arial" w:cs="Arial" w:eastAsia="Arial" w:hAnsi="Arial"/>
                <w:sz w:val="18"/>
                <w:szCs w:val="18"/>
                <w:color w:val="auto"/>
              </w:rPr>
              <w:t>Orthodontic and Implant Solutions</w:t>
            </w:r>
          </w:p>
        </w:tc>
        <w:tc>
          <w:tcPr>
            <w:tcW w:w="280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rPr>
              <w:t>(20.0%)</w:t>
            </w: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286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w w:val="98"/>
              </w:rPr>
              <w:t>(17.7%)</w:t>
            </w:r>
          </w:p>
        </w:tc>
        <w:tc>
          <w:tcPr>
            <w:tcW w:w="0" w:type="dxa"/>
            <w:vAlign w:val="bottom"/>
          </w:tcPr>
          <w:p>
            <w:pPr>
              <w:spacing w:after="0"/>
              <w:rPr>
                <w:sz w:val="1"/>
                <w:szCs w:val="1"/>
                <w:color w:val="auto"/>
              </w:rPr>
            </w:pPr>
          </w:p>
        </w:tc>
      </w:tr>
      <w:tr>
        <w:trPr>
          <w:trHeight w:val="229"/>
        </w:trPr>
        <w:tc>
          <w:tcPr>
            <w:tcW w:w="5400" w:type="dxa"/>
            <w:vAlign w:val="bottom"/>
            <w:gridSpan w:val="6"/>
          </w:tcPr>
          <w:p>
            <w:pPr>
              <w:ind w:left="20"/>
              <w:spacing w:after="0"/>
              <w:rPr>
                <w:sz w:val="20"/>
                <w:szCs w:val="20"/>
                <w:color w:val="auto"/>
              </w:rPr>
            </w:pPr>
            <w:r>
              <w:rPr>
                <w:rFonts w:ascii="Arial" w:cs="Arial" w:eastAsia="Arial" w:hAnsi="Arial"/>
                <w:sz w:val="18"/>
                <w:szCs w:val="18"/>
                <w:color w:val="auto"/>
              </w:rPr>
              <w:t>Wellspect Healthcare</w:t>
            </w:r>
          </w:p>
        </w:tc>
        <w:tc>
          <w:tcPr>
            <w:tcW w:w="2800" w:type="dxa"/>
            <w:vAlign w:val="bottom"/>
          </w:tcPr>
          <w:p>
            <w:pPr>
              <w:jc w:val="center"/>
              <w:spacing w:after="0"/>
              <w:rPr>
                <w:sz w:val="20"/>
                <w:szCs w:val="20"/>
                <w:color w:val="auto"/>
              </w:rPr>
            </w:pPr>
            <w:r>
              <w:rPr>
                <w:rFonts w:ascii="Arial" w:cs="Arial" w:eastAsia="Arial" w:hAnsi="Arial"/>
                <w:sz w:val="18"/>
                <w:szCs w:val="18"/>
                <w:i w:val="1"/>
                <w:iCs w:val="1"/>
                <w:color w:val="auto"/>
                <w:w w:val="97"/>
              </w:rPr>
              <w:t>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rPr>
              <w:t>8.0%</w:t>
            </w: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gridSpan w:val="4"/>
            <w:shd w:val="clear" w:color="auto" w:fill="CDFFCC"/>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DFFCC"/>
            </w:tcBorders>
            <w:shd w:val="clear" w:color="auto" w:fill="CDFFCC"/>
          </w:tcPr>
          <w:p>
            <w:pPr>
              <w:spacing w:after="0"/>
              <w:rPr>
                <w:sz w:val="19"/>
                <w:szCs w:val="19"/>
                <w:color w:val="auto"/>
              </w:rPr>
            </w:pPr>
          </w:p>
        </w:tc>
        <w:tc>
          <w:tcPr>
            <w:tcW w:w="120" w:type="dxa"/>
            <w:vAlign w:val="bottom"/>
            <w:tcBorders>
              <w:top w:val="single" w:sz="8" w:color="CDFFCC"/>
            </w:tcBorders>
            <w:shd w:val="clear" w:color="auto" w:fill="CDFFCC"/>
          </w:tcPr>
          <w:p>
            <w:pPr>
              <w:spacing w:after="0"/>
              <w:rPr>
                <w:sz w:val="19"/>
                <w:szCs w:val="19"/>
                <w:color w:val="auto"/>
              </w:rPr>
            </w:pPr>
          </w:p>
        </w:tc>
        <w:tc>
          <w:tcPr>
            <w:tcW w:w="2800" w:type="dxa"/>
            <w:vAlign w:val="bottom"/>
            <w:tcBorders>
              <w:top w:val="single" w:sz="8" w:color="auto"/>
            </w:tcBorders>
            <w:shd w:val="clear" w:color="auto" w:fill="CDFFCC"/>
          </w:tcPr>
          <w:p>
            <w:pPr>
              <w:jc w:val="center"/>
              <w:spacing w:after="0"/>
              <w:rPr>
                <w:sz w:val="20"/>
                <w:szCs w:val="20"/>
                <w:color w:val="auto"/>
              </w:rPr>
            </w:pPr>
            <w:r>
              <w:rPr>
                <w:rFonts w:ascii="Arial" w:cs="Arial" w:eastAsia="Arial" w:hAnsi="Arial"/>
                <w:sz w:val="18"/>
                <w:szCs w:val="18"/>
                <w:i w:val="1"/>
                <w:iCs w:val="1"/>
                <w:color w:val="auto"/>
                <w:w w:val="98"/>
              </w:rPr>
              <w:t>(7.7%)</w:t>
            </w:r>
          </w:p>
        </w:tc>
        <w:tc>
          <w:tcPr>
            <w:tcW w:w="60" w:type="dxa"/>
            <w:vAlign w:val="bottom"/>
            <w:tcBorders>
              <w:top w:val="single" w:sz="8" w:color="auto"/>
            </w:tcBorders>
            <w:shd w:val="clear" w:color="auto" w:fill="CDFFCC"/>
          </w:tcPr>
          <w:p>
            <w:pPr>
              <w:spacing w:after="0"/>
              <w:rPr>
                <w:sz w:val="19"/>
                <w:szCs w:val="19"/>
                <w:color w:val="auto"/>
              </w:rPr>
            </w:pPr>
          </w:p>
        </w:tc>
        <w:tc>
          <w:tcPr>
            <w:tcW w:w="60" w:type="dxa"/>
            <w:vAlign w:val="bottom"/>
            <w:tcBorders>
              <w:top w:val="single" w:sz="8" w:color="CDFFCC"/>
            </w:tcBorders>
            <w:shd w:val="clear" w:color="auto" w:fill="CDFFCC"/>
          </w:tcPr>
          <w:p>
            <w:pPr>
              <w:spacing w:after="0"/>
              <w:rPr>
                <w:sz w:val="19"/>
                <w:szCs w:val="19"/>
                <w:color w:val="auto"/>
              </w:rPr>
            </w:pPr>
          </w:p>
        </w:tc>
        <w:tc>
          <w:tcPr>
            <w:tcW w:w="60" w:type="dxa"/>
            <w:vAlign w:val="bottom"/>
            <w:tcBorders>
              <w:top w:val="single" w:sz="8" w:color="CDFFCC"/>
            </w:tcBorders>
            <w:shd w:val="clear" w:color="auto" w:fill="CDFFCC"/>
          </w:tcPr>
          <w:p>
            <w:pPr>
              <w:spacing w:after="0"/>
              <w:rPr>
                <w:sz w:val="19"/>
                <w:szCs w:val="19"/>
                <w:color w:val="auto"/>
              </w:rPr>
            </w:pPr>
          </w:p>
        </w:tc>
        <w:tc>
          <w:tcPr>
            <w:tcW w:w="2860" w:type="dxa"/>
            <w:vAlign w:val="bottom"/>
            <w:tcBorders>
              <w:top w:val="single" w:sz="8" w:color="auto"/>
            </w:tcBorders>
            <w:shd w:val="clear" w:color="auto" w:fill="CDFFCC"/>
          </w:tcPr>
          <w:p>
            <w:pPr>
              <w:jc w:val="center"/>
              <w:spacing w:after="0"/>
              <w:rPr>
                <w:sz w:val="20"/>
                <w:szCs w:val="20"/>
                <w:color w:val="auto"/>
              </w:rPr>
            </w:pPr>
            <w:r>
              <w:rPr>
                <w:rFonts w:ascii="Arial" w:cs="Arial" w:eastAsia="Arial" w:hAnsi="Arial"/>
                <w:sz w:val="18"/>
                <w:szCs w:val="18"/>
                <w:i w:val="1"/>
                <w:iCs w:val="1"/>
                <w:color w:val="auto"/>
              </w:rPr>
              <w:t>(4.4%)</w:t>
            </w:r>
          </w:p>
        </w:tc>
        <w:tc>
          <w:tcPr>
            <w:tcW w:w="0" w:type="dxa"/>
            <w:vAlign w:val="bottom"/>
          </w:tcPr>
          <w:p>
            <w:pPr>
              <w:spacing w:after="0"/>
              <w:rPr>
                <w:sz w:val="1"/>
                <w:szCs w:val="1"/>
                <w:color w:val="auto"/>
              </w:rPr>
            </w:pPr>
          </w:p>
        </w:tc>
      </w:tr>
      <w:tr>
        <w:trPr>
          <w:trHeight w:val="486"/>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rPr>
              <w:t>Q1 25 Geographic Results</w:t>
            </w:r>
          </w:p>
        </w:tc>
        <w:tc>
          <w:tcPr>
            <w:tcW w:w="298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rPr>
              <w:t>Net Sales Growth %</w:t>
            </w:r>
          </w:p>
        </w:tc>
        <w:tc>
          <w:tcPr>
            <w:tcW w:w="28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Organic Sales Growth %</w:t>
            </w:r>
          </w:p>
        </w:tc>
        <w:tc>
          <w:tcPr>
            <w:tcW w:w="0" w:type="dxa"/>
            <w:vAlign w:val="bottom"/>
          </w:tcPr>
          <w:p>
            <w:pPr>
              <w:spacing w:after="0"/>
              <w:rPr>
                <w:sz w:val="1"/>
                <w:szCs w:val="1"/>
                <w:color w:val="auto"/>
              </w:rPr>
            </w:pPr>
          </w:p>
        </w:tc>
      </w:tr>
      <w:tr>
        <w:trPr>
          <w:trHeight w:val="263"/>
        </w:trPr>
        <w:tc>
          <w:tcPr>
            <w:tcW w:w="20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4"/>
            <w:vMerge w:val="continue"/>
          </w:tcPr>
          <w:p>
            <w:pPr>
              <w:spacing w:after="0"/>
              <w:rPr>
                <w:sz w:val="22"/>
                <w:szCs w:val="22"/>
                <w:color w:val="auto"/>
              </w:rPr>
            </w:pPr>
          </w:p>
        </w:tc>
        <w:tc>
          <w:tcPr>
            <w:tcW w:w="2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gridSpan w:val="6"/>
            <w:shd w:val="clear" w:color="auto" w:fill="CDFFCC"/>
          </w:tcPr>
          <w:p>
            <w:pPr>
              <w:ind w:left="20"/>
              <w:spacing w:after="0"/>
              <w:rPr>
                <w:sz w:val="20"/>
                <w:szCs w:val="20"/>
                <w:color w:val="auto"/>
              </w:rPr>
            </w:pPr>
            <w:r>
              <w:rPr>
                <w:rFonts w:ascii="Arial" w:cs="Arial" w:eastAsia="Arial" w:hAnsi="Arial"/>
                <w:sz w:val="18"/>
                <w:szCs w:val="18"/>
                <w:color w:val="auto"/>
              </w:rPr>
              <w:t>United States</w:t>
            </w:r>
          </w:p>
        </w:tc>
        <w:tc>
          <w:tcPr>
            <w:tcW w:w="2800" w:type="dxa"/>
            <w:vAlign w:val="bottom"/>
            <w:shd w:val="clear" w:color="auto" w:fill="CDFFCC"/>
          </w:tcPr>
          <w:p>
            <w:pPr>
              <w:jc w:val="center"/>
              <w:ind w:right="30"/>
              <w:spacing w:after="0"/>
              <w:rPr>
                <w:sz w:val="20"/>
                <w:szCs w:val="20"/>
                <w:color w:val="auto"/>
              </w:rPr>
            </w:pPr>
            <w:r>
              <w:rPr>
                <w:rFonts w:ascii="Arial" w:cs="Arial" w:eastAsia="Arial" w:hAnsi="Arial"/>
                <w:sz w:val="18"/>
                <w:szCs w:val="18"/>
                <w:i w:val="1"/>
                <w:iCs w:val="1"/>
                <w:color w:val="auto"/>
              </w:rPr>
              <w:t>(15.2%)</w:t>
            </w: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286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rPr>
              <w:t>(14.9%)</w:t>
            </w:r>
          </w:p>
        </w:tc>
        <w:tc>
          <w:tcPr>
            <w:tcW w:w="0" w:type="dxa"/>
            <w:vAlign w:val="bottom"/>
          </w:tcPr>
          <w:p>
            <w:pPr>
              <w:spacing w:after="0"/>
              <w:rPr>
                <w:sz w:val="1"/>
                <w:szCs w:val="1"/>
                <w:color w:val="auto"/>
              </w:rPr>
            </w:pPr>
          </w:p>
        </w:tc>
      </w:tr>
      <w:tr>
        <w:trPr>
          <w:trHeight w:val="229"/>
        </w:trPr>
        <w:tc>
          <w:tcPr>
            <w:tcW w:w="5400" w:type="dxa"/>
            <w:vAlign w:val="bottom"/>
            <w:gridSpan w:val="6"/>
          </w:tcPr>
          <w:p>
            <w:pPr>
              <w:ind w:left="20"/>
              <w:spacing w:after="0"/>
              <w:rPr>
                <w:sz w:val="20"/>
                <w:szCs w:val="20"/>
                <w:color w:val="auto"/>
              </w:rPr>
            </w:pPr>
            <w:r>
              <w:rPr>
                <w:rFonts w:ascii="Arial" w:cs="Arial" w:eastAsia="Arial" w:hAnsi="Arial"/>
                <w:sz w:val="18"/>
                <w:szCs w:val="18"/>
                <w:color w:val="auto"/>
              </w:rPr>
              <w:t>Europe</w:t>
            </w:r>
          </w:p>
        </w:tc>
        <w:tc>
          <w:tcPr>
            <w:tcW w:w="2800" w:type="dxa"/>
            <w:vAlign w:val="bottom"/>
          </w:tcPr>
          <w:p>
            <w:pPr>
              <w:jc w:val="center"/>
              <w:ind w:right="30"/>
              <w:spacing w:after="0"/>
              <w:rPr>
                <w:sz w:val="20"/>
                <w:szCs w:val="20"/>
                <w:color w:val="auto"/>
              </w:rPr>
            </w:pPr>
            <w:r>
              <w:rPr>
                <w:rFonts w:ascii="Arial" w:cs="Arial" w:eastAsia="Arial" w:hAnsi="Arial"/>
                <w:sz w:val="18"/>
                <w:szCs w:val="18"/>
                <w:i w:val="1"/>
                <w:iCs w:val="1"/>
                <w:color w:val="auto"/>
                <w:w w:val="98"/>
              </w:rPr>
              <w:t>(3.4%)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w w:val="97"/>
              </w:rPr>
              <w:t>1.1%</w:t>
            </w:r>
          </w:p>
        </w:tc>
        <w:tc>
          <w:tcPr>
            <w:tcW w:w="0" w:type="dxa"/>
            <w:vAlign w:val="bottom"/>
          </w:tcPr>
          <w:p>
            <w:pPr>
              <w:spacing w:after="0"/>
              <w:rPr>
                <w:sz w:val="1"/>
                <w:szCs w:val="1"/>
                <w:color w:val="auto"/>
              </w:rPr>
            </w:pPr>
          </w:p>
        </w:tc>
      </w:tr>
      <w:tr>
        <w:trPr>
          <w:trHeight w:val="230"/>
        </w:trPr>
        <w:tc>
          <w:tcPr>
            <w:tcW w:w="5400" w:type="dxa"/>
            <w:vAlign w:val="bottom"/>
            <w:gridSpan w:val="6"/>
            <w:shd w:val="clear" w:color="auto" w:fill="CDFFCC"/>
          </w:tcPr>
          <w:p>
            <w:pPr>
              <w:ind w:left="20"/>
              <w:spacing w:after="0"/>
              <w:rPr>
                <w:sz w:val="20"/>
                <w:szCs w:val="20"/>
                <w:color w:val="auto"/>
              </w:rPr>
            </w:pPr>
            <w:r>
              <w:rPr>
                <w:rFonts w:ascii="Arial" w:cs="Arial" w:eastAsia="Arial" w:hAnsi="Arial"/>
                <w:sz w:val="18"/>
                <w:szCs w:val="18"/>
                <w:color w:val="auto"/>
              </w:rPr>
              <w:t>Rest of World</w:t>
            </w:r>
          </w:p>
        </w:tc>
        <w:tc>
          <w:tcPr>
            <w:tcW w:w="2800" w:type="dxa"/>
            <w:vAlign w:val="bottom"/>
            <w:shd w:val="clear" w:color="auto" w:fill="CDFFCC"/>
          </w:tcPr>
          <w:p>
            <w:pPr>
              <w:jc w:val="center"/>
              <w:ind w:right="30"/>
              <w:spacing w:after="0"/>
              <w:rPr>
                <w:sz w:val="20"/>
                <w:szCs w:val="20"/>
                <w:color w:val="auto"/>
              </w:rPr>
            </w:pPr>
            <w:r>
              <w:rPr>
                <w:rFonts w:ascii="Arial" w:cs="Arial" w:eastAsia="Arial" w:hAnsi="Arial"/>
                <w:sz w:val="18"/>
                <w:szCs w:val="18"/>
                <w:i w:val="1"/>
                <w:iCs w:val="1"/>
                <w:color w:val="auto"/>
                <w:w w:val="98"/>
              </w:rPr>
              <w:t>(2.8%)</w:t>
            </w: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60" w:type="dxa"/>
            <w:vAlign w:val="bottom"/>
            <w:shd w:val="clear" w:color="auto" w:fill="CDFFCC"/>
          </w:tcPr>
          <w:p>
            <w:pPr>
              <w:spacing w:after="0"/>
              <w:rPr>
                <w:sz w:val="19"/>
                <w:szCs w:val="19"/>
                <w:color w:val="auto"/>
              </w:rPr>
            </w:pPr>
          </w:p>
        </w:tc>
        <w:tc>
          <w:tcPr>
            <w:tcW w:w="2860" w:type="dxa"/>
            <w:vAlign w:val="bottom"/>
            <w:shd w:val="clear" w:color="auto" w:fill="CDFFCC"/>
          </w:tcPr>
          <w:p>
            <w:pPr>
              <w:jc w:val="center"/>
              <w:spacing w:after="0"/>
              <w:rPr>
                <w:sz w:val="20"/>
                <w:szCs w:val="20"/>
                <w:color w:val="auto"/>
              </w:rPr>
            </w:pPr>
            <w:r>
              <w:rPr>
                <w:rFonts w:ascii="Arial" w:cs="Arial" w:eastAsia="Arial" w:hAnsi="Arial"/>
                <w:sz w:val="18"/>
                <w:szCs w:val="18"/>
                <w:i w:val="1"/>
                <w:iCs w:val="1"/>
                <w:color w:val="auto"/>
                <w:w w:val="97"/>
              </w:rPr>
              <w:t>3.1%</w:t>
            </w:r>
          </w:p>
        </w:tc>
        <w:tc>
          <w:tcPr>
            <w:tcW w:w="0" w:type="dxa"/>
            <w:vAlign w:val="bottom"/>
          </w:tcPr>
          <w:p>
            <w:pPr>
              <w:spacing w:after="0"/>
              <w:rPr>
                <w:sz w:val="1"/>
                <w:szCs w:val="1"/>
                <w:color w:val="auto"/>
              </w:rPr>
            </w:pPr>
          </w:p>
        </w:tc>
      </w:tr>
      <w:tr>
        <w:trPr>
          <w:trHeight w:val="232"/>
        </w:trPr>
        <w:tc>
          <w:tcPr>
            <w:tcW w:w="51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8"/>
              </w:rPr>
              <w:t>(7.7%)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(4.4%)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Liquidity</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cash flow in the first quarter of 2025 was $7 million, compared to $25 million in the first quarter of 2024, primarily due to the unfavorable timing of collections on accounts receivable and a build of inventory during the quarter. In the first quarter of 2025, the Company paid $32 million in dividends. The Company had $398 million of cash and cash equivalents as of March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 Outlook</w:t>
      </w:r>
    </w:p>
    <w:p>
      <w:pPr>
        <w:spacing w:after="0" w:line="252"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The Company is maintaining its 2025 outlook for organic sales in the range of down (4.0%) to (2.0%), and adjusted EPS in the range of $1.80 to $2.00. The Company is increasing its expected reported sales to a new range of $3.60 billion to $3.70 billion due to changes in foreign exchange rates. This outlook reflects the current state of tariffs and trade policy.</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2025 outlook assumptions are included in the first quarter 2025 earnings presentation posted on the Investors section of the Dentsply Sirona website at https://investor.dentsplysirona.com. The Company does not provide forward-looking estimates on a GAAP basis as certain information, which may include, but is not limited to, restructuring charges, transformation-related costs, impairment charges, certain tax adjustments, and other significant items, is not available without unreasonable effort and cannot be reasonably estimated. The exact amounts of these charges or credits are not currently determinable but may be significant.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Call/Webcast Information</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Dentsply Sirona’s management team will host an investor conference call and live webcast on May 8th, 2025, at 8:30 am ET. A live webcast of the investor conference call and a presentation related to the call will be available on the Investors section of the Company’s website at https://investor.dentsplysirona.com.</w:t>
      </w:r>
    </w:p>
    <w:p>
      <w:pPr>
        <w:spacing w:after="0" w:line="20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those planning to participate on the call, please register at https://register-conf.media-server.com/register/BIb73584ce1e6f4d81b57af1bfbeec6816. A webcast replay of the conference call will be available on the Investors section of the Company’s website following the call.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Dentsply Sirona</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Dentsply Sirona is the world’s largest diversified manufacturer of professional dental products and technologies, with over a century of innovation and service to the dental industry and patients worldwide. Dentsply Sirona develops, manufactures, and markets a comprehensive solutions offering</w:t>
      </w:r>
    </w:p>
    <w:p>
      <w:pPr>
        <w:sectPr>
          <w:pgSz w:w="11900" w:h="16838" w:orient="portrait"/>
          <w:cols w:equalWidth="0" w:num="1">
            <w:col w:w="11240"/>
          </w:cols>
          <w:pgMar w:left="320" w:top="936" w:right="339" w:bottom="1440" w:gutter="0" w:footer="0" w:header="0"/>
        </w:sectPr>
      </w:pPr>
    </w:p>
    <w:bookmarkStart w:id="5" w:name="page6"/>
    <w:bookmarkEnd w:id="5"/>
    <w:p>
      <w:pPr>
        <w:spacing w:after="0" w:line="282" w:lineRule="auto"/>
        <w:rPr>
          <w:sz w:val="20"/>
          <w:szCs w:val="20"/>
          <w:color w:val="auto"/>
        </w:rPr>
      </w:pPr>
      <w:r>
        <w:rPr>
          <w:rFonts w:ascii="Arial" w:cs="Arial" w:eastAsia="Arial" w:hAnsi="Arial"/>
          <w:sz w:val="17"/>
          <w:szCs w:val="17"/>
          <w:color w:val="auto"/>
        </w:rPr>
        <w:t>including dental and oral health products as well as other consumable medical devices under a strong portfolio of world-class brands. Dentsply Sirona’s innovative products provide, high-quality, effective and connected solutions to advance patient care and deliver better and safer dental care. Dentsply Sirona’s headquarters is located in Charlotte, North Carolina. The Company’s shares are listed in the United States on Nasdaq under the symbol XRAY. Visit www.dentsplysirona.com for more information about Dentsply Sirona and its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D0D0D"/>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D0D"/>
        </w:rPr>
        <w:t>Andrea Daley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D0D"/>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D0D"/>
        </w:rPr>
        <w:t>+1-704-591-8631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InvestorRelations@dentsplysirona.com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Marion Par-Weixlberger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Public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+43 676 848414588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marion.par-weixlberger@dentsplysirona.com</w:t>
      </w:r>
    </w:p>
    <w:p>
      <w:pPr>
        <w:sectPr>
          <w:pgSz w:w="11900" w:h="16838" w:orient="portrait"/>
          <w:cols w:equalWidth="0" w:num="1">
            <w:col w:w="11120"/>
          </w:cols>
          <w:pgMar w:left="320" w:top="931"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Forward-Looking Statements and Associated Risks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statements in this Press Release that do not directly and exclusively relate to historical facts constitute "forward-looking statements." Such statements are subject to numerous assumptions, risks, uncertainties and other factors that could cause actual results to differ materially from those described in such statements, many of which are outside of our control, including those described in Part I, Item 1A, "Risk Factors" of the Company's most recent Annual Report on Form 10-K, and any updating information or other factors which may be described in the Company’s other filings with the Securities and Exchange Commission (the "SEC"). No assurance can be given that any expectation, belief,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Press Release or to reflect the occurrence of unanticipated events. Investors should understand it is not possible to predict or identify all such factors or risks. As such, you should not consider the risks identified in the Company’s SEC filings to be a complete discussion of all potential risks or uncertainties associated with an investment in the Company.</w:t>
      </w:r>
    </w:p>
    <w:p>
      <w:pPr>
        <w:sectPr>
          <w:pgSz w:w="11900" w:h="16838" w:orient="portrait"/>
          <w:cols w:equalWidth="0" w:num="1">
            <w:col w:w="11220"/>
          </w:cols>
          <w:pgMar w:left="320" w:top="93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312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color w:val="auto"/>
              </w:rPr>
              <w:t>Three Months Ended March 31,</w:t>
            </w:r>
          </w:p>
        </w:tc>
      </w:tr>
      <w:tr>
        <w:trPr>
          <w:trHeight w:val="210"/>
        </w:trPr>
        <w:tc>
          <w:tcPr>
            <w:tcW w:w="7760" w:type="dxa"/>
            <w:vAlign w:val="bottom"/>
            <w:tcBorders>
              <w:bottom w:val="single" w:sz="8" w:color="CDFFC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D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2024</w:t>
            </w:r>
          </w:p>
        </w:tc>
      </w:tr>
      <w:tr>
        <w:trPr>
          <w:trHeight w:val="210"/>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Net sales</w:t>
            </w:r>
          </w:p>
        </w:tc>
        <w:tc>
          <w:tcPr>
            <w:tcW w:w="980" w:type="dxa"/>
            <w:vAlign w:val="bottom"/>
            <w:shd w:val="clear" w:color="auto" w:fill="CDFFCC"/>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953</w:t>
            </w:r>
          </w:p>
        </w:tc>
      </w:tr>
      <w:tr>
        <w:trPr>
          <w:trHeight w:val="215"/>
        </w:trPr>
        <w:tc>
          <w:tcPr>
            <w:tcW w:w="7760" w:type="dxa"/>
            <w:vAlign w:val="bottom"/>
            <w:tcBorders>
              <w:bottom w:val="single" w:sz="8" w:color="CDFFCC"/>
            </w:tcBorders>
          </w:tcPr>
          <w:p>
            <w:pPr>
              <w:ind w:left="20"/>
              <w:spacing w:after="0"/>
              <w:rPr>
                <w:sz w:val="20"/>
                <w:szCs w:val="20"/>
                <w:color w:val="auto"/>
              </w:rPr>
            </w:pPr>
            <w:r>
              <w:rPr>
                <w:rFonts w:ascii="Arial" w:cs="Arial" w:eastAsia="Arial" w:hAnsi="Arial"/>
                <w:sz w:val="16"/>
                <w:szCs w:val="16"/>
                <w:color w:val="auto"/>
              </w:rPr>
              <w:t>Cost of products sold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D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r>
      <w:tr>
        <w:trPr>
          <w:trHeight w:val="251"/>
        </w:trPr>
        <w:tc>
          <w:tcPr>
            <w:tcW w:w="7760" w:type="dxa"/>
            <w:vAlign w:val="bottom"/>
            <w:shd w:val="clear" w:color="auto" w:fill="CDFFCC"/>
          </w:tcPr>
          <w:p>
            <w:pPr>
              <w:spacing w:after="0"/>
              <w:rPr>
                <w:sz w:val="21"/>
                <w:szCs w:val="21"/>
                <w:color w:val="auto"/>
              </w:rPr>
            </w:pPr>
          </w:p>
        </w:tc>
        <w:tc>
          <w:tcPr>
            <w:tcW w:w="980" w:type="dxa"/>
            <w:vAlign w:val="bottom"/>
            <w:shd w:val="clear" w:color="auto" w:fill="CDFFCC"/>
          </w:tcPr>
          <w:p>
            <w:pPr>
              <w:spacing w:after="0"/>
              <w:rPr>
                <w:sz w:val="21"/>
                <w:szCs w:val="21"/>
                <w:color w:val="auto"/>
              </w:rPr>
            </w:pPr>
          </w:p>
        </w:tc>
        <w:tc>
          <w:tcPr>
            <w:tcW w:w="520" w:type="dxa"/>
            <w:vAlign w:val="bottom"/>
            <w:shd w:val="clear" w:color="auto" w:fill="CDFFCC"/>
          </w:tcPr>
          <w:p>
            <w:pPr>
              <w:spacing w:after="0"/>
              <w:rPr>
                <w:sz w:val="21"/>
                <w:szCs w:val="21"/>
                <w:color w:val="auto"/>
              </w:rPr>
            </w:pPr>
          </w:p>
        </w:tc>
        <w:tc>
          <w:tcPr>
            <w:tcW w:w="120" w:type="dxa"/>
            <w:vAlign w:val="bottom"/>
            <w:shd w:val="clear" w:color="auto" w:fill="CDFFCC"/>
          </w:tcPr>
          <w:p>
            <w:pPr>
              <w:spacing w:after="0"/>
              <w:rPr>
                <w:sz w:val="21"/>
                <w:szCs w:val="21"/>
                <w:color w:val="auto"/>
              </w:rPr>
            </w:pPr>
          </w:p>
        </w:tc>
        <w:tc>
          <w:tcPr>
            <w:tcW w:w="340" w:type="dxa"/>
            <w:vAlign w:val="bottom"/>
            <w:shd w:val="clear" w:color="auto" w:fill="CDFFCC"/>
          </w:tcPr>
          <w:p>
            <w:pPr>
              <w:spacing w:after="0"/>
              <w:rPr>
                <w:sz w:val="21"/>
                <w:szCs w:val="21"/>
                <w:color w:val="auto"/>
              </w:rPr>
            </w:pPr>
          </w:p>
        </w:tc>
        <w:tc>
          <w:tcPr>
            <w:tcW w:w="1160" w:type="dxa"/>
            <w:vAlign w:val="bottom"/>
            <w:shd w:val="clear" w:color="auto" w:fill="CDFFCC"/>
          </w:tcPr>
          <w:p>
            <w:pPr>
              <w:spacing w:after="0"/>
              <w:rPr>
                <w:sz w:val="21"/>
                <w:szCs w:val="21"/>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71"/>
        </w:trPr>
        <w:tc>
          <w:tcPr>
            <w:tcW w:w="7760" w:type="dxa"/>
            <w:vAlign w:val="bottom"/>
            <w:shd w:val="clear" w:color="auto" w:fill="CDFFCC"/>
          </w:tcPr>
          <w:p>
            <w:pPr>
              <w:spacing w:after="0"/>
              <w:rPr>
                <w:sz w:val="23"/>
                <w:szCs w:val="23"/>
                <w:color w:val="auto"/>
              </w:rPr>
            </w:pPr>
          </w:p>
        </w:tc>
        <w:tc>
          <w:tcPr>
            <w:tcW w:w="980" w:type="dxa"/>
            <w:vAlign w:val="bottom"/>
            <w:shd w:val="clear" w:color="auto" w:fill="CDFFCC"/>
          </w:tcPr>
          <w:p>
            <w:pPr>
              <w:spacing w:after="0"/>
              <w:rPr>
                <w:sz w:val="23"/>
                <w:szCs w:val="23"/>
                <w:color w:val="auto"/>
              </w:rPr>
            </w:pPr>
          </w:p>
        </w:tc>
        <w:tc>
          <w:tcPr>
            <w:tcW w:w="520" w:type="dxa"/>
            <w:vAlign w:val="bottom"/>
            <w:shd w:val="clear" w:color="auto" w:fill="CDFFCC"/>
          </w:tcPr>
          <w:p>
            <w:pPr>
              <w:spacing w:after="0"/>
              <w:rPr>
                <w:sz w:val="23"/>
                <w:szCs w:val="23"/>
                <w:color w:val="auto"/>
              </w:rPr>
            </w:pPr>
          </w:p>
        </w:tc>
        <w:tc>
          <w:tcPr>
            <w:tcW w:w="120" w:type="dxa"/>
            <w:vAlign w:val="bottom"/>
            <w:shd w:val="clear" w:color="auto" w:fill="CDFFCC"/>
          </w:tcPr>
          <w:p>
            <w:pPr>
              <w:spacing w:after="0"/>
              <w:rPr>
                <w:sz w:val="23"/>
                <w:szCs w:val="23"/>
                <w:color w:val="auto"/>
              </w:rPr>
            </w:pPr>
          </w:p>
        </w:tc>
        <w:tc>
          <w:tcPr>
            <w:tcW w:w="340" w:type="dxa"/>
            <w:vAlign w:val="bottom"/>
            <w:shd w:val="clear" w:color="auto" w:fill="CDFFCC"/>
          </w:tcPr>
          <w:p>
            <w:pPr>
              <w:spacing w:after="0"/>
              <w:rPr>
                <w:sz w:val="23"/>
                <w:szCs w:val="23"/>
                <w:color w:val="auto"/>
              </w:rPr>
            </w:pPr>
          </w:p>
        </w:tc>
        <w:tc>
          <w:tcPr>
            <w:tcW w:w="1160" w:type="dxa"/>
            <w:vAlign w:val="bottom"/>
            <w:shd w:val="clear" w:color="auto" w:fill="CDFFCC"/>
          </w:tcPr>
          <w:p>
            <w:pPr>
              <w:spacing w:after="0"/>
              <w:rPr>
                <w:sz w:val="23"/>
                <w:szCs w:val="23"/>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7"/>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Research and development expenses</w:t>
            </w:r>
          </w:p>
        </w:tc>
        <w:tc>
          <w:tcPr>
            <w:tcW w:w="980" w:type="dxa"/>
            <w:vAlign w:val="bottom"/>
            <w:shd w:val="clear" w:color="auto" w:fill="CDFFCC"/>
          </w:tcPr>
          <w:p>
            <w:pPr>
              <w:spacing w:after="0"/>
              <w:rPr>
                <w:sz w:val="18"/>
                <w:szCs w:val="18"/>
                <w:color w:val="auto"/>
              </w:rPr>
            </w:pP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Intangible asset impairments</w:t>
            </w: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Restructuring and other costs</w:t>
            </w:r>
          </w:p>
        </w:tc>
        <w:tc>
          <w:tcPr>
            <w:tcW w:w="980" w:type="dxa"/>
            <w:vAlign w:val="bottom"/>
            <w:tcBorders>
              <w:bottom w:val="single" w:sz="8" w:color="auto"/>
            </w:tcBorders>
            <w:shd w:val="clear" w:color="auto" w:fill="CDFFCC"/>
          </w:tcPr>
          <w:p>
            <w:pPr>
              <w:spacing w:after="0"/>
              <w:rPr>
                <w:sz w:val="18"/>
                <w:szCs w:val="18"/>
                <w:color w:val="auto"/>
              </w:rPr>
            </w:pPr>
          </w:p>
        </w:tc>
        <w:tc>
          <w:tcPr>
            <w:tcW w:w="5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DFFCC"/>
          </w:tcPr>
          <w:p>
            <w:pPr>
              <w:spacing w:after="0"/>
              <w:rPr>
                <w:sz w:val="18"/>
                <w:szCs w:val="18"/>
                <w:color w:val="auto"/>
              </w:rPr>
            </w:pPr>
          </w:p>
        </w:tc>
        <w:tc>
          <w:tcPr>
            <w:tcW w:w="340" w:type="dxa"/>
            <w:vAlign w:val="bottom"/>
            <w:tcBorders>
              <w:bottom w:val="single" w:sz="8" w:color="auto"/>
            </w:tcBorders>
            <w:shd w:val="clear" w:color="auto" w:fill="CDFFCC"/>
          </w:tcPr>
          <w:p>
            <w:pPr>
              <w:spacing w:after="0"/>
              <w:rPr>
                <w:sz w:val="18"/>
                <w:szCs w:val="18"/>
                <w:color w:val="auto"/>
              </w:rPr>
            </w:pPr>
          </w:p>
        </w:tc>
        <w:tc>
          <w:tcPr>
            <w:tcW w:w="116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7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shd w:val="clear" w:color="auto" w:fill="CDFFCC"/>
          </w:tcPr>
          <w:p>
            <w:pPr>
              <w:spacing w:after="0"/>
              <w:rPr>
                <w:sz w:val="18"/>
                <w:szCs w:val="18"/>
                <w:color w:val="auto"/>
              </w:rPr>
            </w:pP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7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16"/>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Other income and expenses:</w:t>
            </w:r>
          </w:p>
        </w:tc>
        <w:tc>
          <w:tcPr>
            <w:tcW w:w="980" w:type="dxa"/>
            <w:vAlign w:val="bottom"/>
            <w:shd w:val="clear" w:color="auto" w:fill="CDFFCC"/>
          </w:tcPr>
          <w:p>
            <w:pPr>
              <w:spacing w:after="0"/>
              <w:rPr>
                <w:sz w:val="18"/>
                <w:szCs w:val="18"/>
                <w:color w:val="auto"/>
              </w:rPr>
            </w:pPr>
          </w:p>
        </w:tc>
        <w:tc>
          <w:tcPr>
            <w:tcW w:w="520" w:type="dxa"/>
            <w:vAlign w:val="bottom"/>
            <w:shd w:val="clear" w:color="auto" w:fill="CDFFCC"/>
          </w:tcPr>
          <w:p>
            <w:pPr>
              <w:spacing w:after="0"/>
              <w:rPr>
                <w:sz w:val="18"/>
                <w:szCs w:val="18"/>
                <w:color w:val="auto"/>
              </w:rPr>
            </w:pP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spacing w:after="0"/>
              <w:rPr>
                <w:sz w:val="18"/>
                <w:szCs w:val="18"/>
                <w:color w:val="auto"/>
              </w:rPr>
            </w:pPr>
          </w:p>
        </w:tc>
      </w:tr>
      <w:tr>
        <w:trPr>
          <w:trHeight w:val="215"/>
        </w:trPr>
        <w:tc>
          <w:tcPr>
            <w:tcW w:w="77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760" w:type="dxa"/>
            <w:vAlign w:val="bottom"/>
            <w:shd w:val="clear" w:color="auto" w:fill="CDFFCC"/>
          </w:tcPr>
          <w:p>
            <w:pPr>
              <w:ind w:left="100"/>
              <w:spacing w:after="0"/>
              <w:rPr>
                <w:sz w:val="20"/>
                <w:szCs w:val="20"/>
                <w:color w:val="auto"/>
              </w:rPr>
            </w:pPr>
            <w:r>
              <w:rPr>
                <w:rFonts w:ascii="Arial" w:cs="Arial" w:eastAsia="Arial" w:hAnsi="Arial"/>
                <w:sz w:val="16"/>
                <w:szCs w:val="16"/>
                <w:color w:val="auto"/>
              </w:rPr>
              <w:t>Other (income) expense, net</w:t>
            </w:r>
          </w:p>
        </w:tc>
        <w:tc>
          <w:tcPr>
            <w:tcW w:w="980" w:type="dxa"/>
            <w:vAlign w:val="bottom"/>
            <w:shd w:val="clear" w:color="auto" w:fill="CDFFCC"/>
          </w:tcPr>
          <w:p>
            <w:pPr>
              <w:spacing w:after="0"/>
              <w:rPr>
                <w:sz w:val="18"/>
                <w:szCs w:val="18"/>
                <w:color w:val="auto"/>
              </w:rPr>
            </w:pPr>
          </w:p>
        </w:tc>
        <w:tc>
          <w:tcPr>
            <w:tcW w:w="640" w:type="dxa"/>
            <w:vAlign w:val="bottom"/>
            <w:gridSpan w:val="2"/>
            <w:shd w:val="clear" w:color="auto" w:fill="CDFFC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77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16"/>
        </w:trPr>
        <w:tc>
          <w:tcPr>
            <w:tcW w:w="7760" w:type="dxa"/>
            <w:vAlign w:val="bottom"/>
            <w:shd w:val="clear" w:color="auto" w:fill="CDFFCC"/>
          </w:tcPr>
          <w:p>
            <w:pPr>
              <w:ind w:left="20"/>
              <w:spacing w:after="0"/>
              <w:rPr>
                <w:sz w:val="20"/>
                <w:szCs w:val="20"/>
                <w:color w:val="auto"/>
              </w:rPr>
            </w:pPr>
            <w:r>
              <w:rPr>
                <w:rFonts w:ascii="Arial" w:cs="Arial" w:eastAsia="Arial" w:hAnsi="Arial"/>
                <w:sz w:val="16"/>
                <w:szCs w:val="16"/>
                <w:color w:val="auto"/>
              </w:rPr>
              <w:t>Income before income taxes</w:t>
            </w:r>
          </w:p>
        </w:tc>
        <w:tc>
          <w:tcPr>
            <w:tcW w:w="980" w:type="dxa"/>
            <w:vAlign w:val="bottom"/>
            <w:shd w:val="clear" w:color="auto" w:fill="CDFFCC"/>
          </w:tcPr>
          <w:p>
            <w:pPr>
              <w:spacing w:after="0"/>
              <w:rPr>
                <w:sz w:val="18"/>
                <w:szCs w:val="18"/>
                <w:color w:val="auto"/>
              </w:rPr>
            </w:pP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7760" w:type="dxa"/>
            <w:vAlign w:val="bottom"/>
            <w:tcBorders>
              <w:bottom w:val="single" w:sz="8" w:color="CDFFCC"/>
            </w:tcBorders>
          </w:tcPr>
          <w:p>
            <w:pPr>
              <w:ind w:left="20"/>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D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7760" w:type="dxa"/>
            <w:vAlign w:val="bottom"/>
            <w:shd w:val="clear" w:color="auto" w:fill="CDFFCC"/>
          </w:tcPr>
          <w:p>
            <w:pPr>
              <w:spacing w:after="0"/>
              <w:rPr>
                <w:sz w:val="21"/>
                <w:szCs w:val="21"/>
                <w:color w:val="auto"/>
              </w:rPr>
            </w:pPr>
          </w:p>
        </w:tc>
        <w:tc>
          <w:tcPr>
            <w:tcW w:w="980" w:type="dxa"/>
            <w:vAlign w:val="bottom"/>
            <w:shd w:val="clear" w:color="auto" w:fill="CDFFCC"/>
          </w:tcPr>
          <w:p>
            <w:pPr>
              <w:spacing w:after="0"/>
              <w:rPr>
                <w:sz w:val="21"/>
                <w:szCs w:val="21"/>
                <w:color w:val="auto"/>
              </w:rPr>
            </w:pPr>
          </w:p>
        </w:tc>
        <w:tc>
          <w:tcPr>
            <w:tcW w:w="520" w:type="dxa"/>
            <w:vAlign w:val="bottom"/>
            <w:shd w:val="clear" w:color="auto" w:fill="CDFFCC"/>
          </w:tcPr>
          <w:p>
            <w:pPr>
              <w:spacing w:after="0"/>
              <w:rPr>
                <w:sz w:val="21"/>
                <w:szCs w:val="21"/>
                <w:color w:val="auto"/>
              </w:rPr>
            </w:pPr>
          </w:p>
        </w:tc>
        <w:tc>
          <w:tcPr>
            <w:tcW w:w="120" w:type="dxa"/>
            <w:vAlign w:val="bottom"/>
            <w:shd w:val="clear" w:color="auto" w:fill="CDFFCC"/>
          </w:tcPr>
          <w:p>
            <w:pPr>
              <w:spacing w:after="0"/>
              <w:rPr>
                <w:sz w:val="21"/>
                <w:szCs w:val="21"/>
                <w:color w:val="auto"/>
              </w:rPr>
            </w:pPr>
          </w:p>
        </w:tc>
        <w:tc>
          <w:tcPr>
            <w:tcW w:w="340" w:type="dxa"/>
            <w:vAlign w:val="bottom"/>
            <w:shd w:val="clear" w:color="auto" w:fill="CDFFCC"/>
          </w:tcPr>
          <w:p>
            <w:pPr>
              <w:spacing w:after="0"/>
              <w:rPr>
                <w:sz w:val="21"/>
                <w:szCs w:val="21"/>
                <w:color w:val="auto"/>
              </w:rPr>
            </w:pPr>
          </w:p>
        </w:tc>
        <w:tc>
          <w:tcPr>
            <w:tcW w:w="1160" w:type="dxa"/>
            <w:vAlign w:val="bottom"/>
            <w:shd w:val="clear" w:color="auto" w:fill="CDFFCC"/>
          </w:tcPr>
          <w:p>
            <w:pPr>
              <w:spacing w:after="0"/>
              <w:rPr>
                <w:sz w:val="21"/>
                <w:szCs w:val="21"/>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1"/>
        </w:trPr>
        <w:tc>
          <w:tcPr>
            <w:tcW w:w="7760" w:type="dxa"/>
            <w:vAlign w:val="bottom"/>
            <w:shd w:val="clear" w:color="auto" w:fill="CDFFCC"/>
          </w:tcPr>
          <w:p>
            <w:pPr>
              <w:spacing w:after="0"/>
              <w:rPr>
                <w:sz w:val="23"/>
                <w:szCs w:val="23"/>
                <w:color w:val="auto"/>
              </w:rPr>
            </w:pPr>
          </w:p>
        </w:tc>
        <w:tc>
          <w:tcPr>
            <w:tcW w:w="980" w:type="dxa"/>
            <w:vAlign w:val="bottom"/>
            <w:shd w:val="clear" w:color="auto" w:fill="CDFFCC"/>
          </w:tcPr>
          <w:p>
            <w:pPr>
              <w:spacing w:after="0"/>
              <w:rPr>
                <w:sz w:val="23"/>
                <w:szCs w:val="23"/>
                <w:color w:val="auto"/>
              </w:rPr>
            </w:pPr>
          </w:p>
        </w:tc>
        <w:tc>
          <w:tcPr>
            <w:tcW w:w="520" w:type="dxa"/>
            <w:vAlign w:val="bottom"/>
            <w:shd w:val="clear" w:color="auto" w:fill="CDFFCC"/>
          </w:tcPr>
          <w:p>
            <w:pPr>
              <w:spacing w:after="0"/>
              <w:rPr>
                <w:sz w:val="23"/>
                <w:szCs w:val="23"/>
                <w:color w:val="auto"/>
              </w:rPr>
            </w:pPr>
          </w:p>
        </w:tc>
        <w:tc>
          <w:tcPr>
            <w:tcW w:w="120" w:type="dxa"/>
            <w:vAlign w:val="bottom"/>
            <w:shd w:val="clear" w:color="auto" w:fill="CDFFCC"/>
          </w:tcPr>
          <w:p>
            <w:pPr>
              <w:spacing w:after="0"/>
              <w:rPr>
                <w:sz w:val="23"/>
                <w:szCs w:val="23"/>
                <w:color w:val="auto"/>
              </w:rPr>
            </w:pPr>
          </w:p>
        </w:tc>
        <w:tc>
          <w:tcPr>
            <w:tcW w:w="340" w:type="dxa"/>
            <w:vAlign w:val="bottom"/>
            <w:shd w:val="clear" w:color="auto" w:fill="CDFFCC"/>
          </w:tcPr>
          <w:p>
            <w:pPr>
              <w:spacing w:after="0"/>
              <w:rPr>
                <w:sz w:val="23"/>
                <w:szCs w:val="23"/>
                <w:color w:val="auto"/>
              </w:rPr>
            </w:pPr>
          </w:p>
        </w:tc>
        <w:tc>
          <w:tcPr>
            <w:tcW w:w="1160" w:type="dxa"/>
            <w:vAlign w:val="bottom"/>
            <w:shd w:val="clear" w:color="auto" w:fill="CDFFCC"/>
          </w:tcPr>
          <w:p>
            <w:pPr>
              <w:spacing w:after="0"/>
              <w:rPr>
                <w:sz w:val="23"/>
                <w:szCs w:val="23"/>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1"/>
        </w:trPr>
        <w:tc>
          <w:tcPr>
            <w:tcW w:w="7760" w:type="dxa"/>
            <w:vAlign w:val="bottom"/>
            <w:shd w:val="clear" w:color="auto" w:fill="CDFFCC"/>
          </w:tcPr>
          <w:p>
            <w:pPr>
              <w:spacing w:after="0"/>
              <w:rPr>
                <w:sz w:val="23"/>
                <w:szCs w:val="23"/>
                <w:color w:val="auto"/>
              </w:rPr>
            </w:pPr>
          </w:p>
        </w:tc>
        <w:tc>
          <w:tcPr>
            <w:tcW w:w="980" w:type="dxa"/>
            <w:vAlign w:val="bottom"/>
            <w:tcBorders>
              <w:bottom w:val="single" w:sz="8" w:color="auto"/>
            </w:tcBorders>
            <w:shd w:val="clear" w:color="auto" w:fill="CDFFCC"/>
          </w:tcPr>
          <w:p>
            <w:pPr>
              <w:spacing w:after="0"/>
              <w:rPr>
                <w:sz w:val="23"/>
                <w:szCs w:val="23"/>
                <w:color w:val="auto"/>
              </w:rPr>
            </w:pPr>
          </w:p>
        </w:tc>
        <w:tc>
          <w:tcPr>
            <w:tcW w:w="520" w:type="dxa"/>
            <w:vAlign w:val="bottom"/>
            <w:tcBorders>
              <w:bottom w:val="single" w:sz="8" w:color="auto"/>
            </w:tcBorders>
            <w:shd w:val="clear" w:color="auto" w:fill="CDFFCC"/>
          </w:tcPr>
          <w:p>
            <w:pPr>
              <w:spacing w:after="0"/>
              <w:rPr>
                <w:sz w:val="23"/>
                <w:szCs w:val="23"/>
                <w:color w:val="auto"/>
              </w:rPr>
            </w:pPr>
          </w:p>
        </w:tc>
        <w:tc>
          <w:tcPr>
            <w:tcW w:w="120" w:type="dxa"/>
            <w:vAlign w:val="bottom"/>
            <w:shd w:val="clear" w:color="auto" w:fill="CDFFCC"/>
          </w:tcPr>
          <w:p>
            <w:pPr>
              <w:spacing w:after="0"/>
              <w:rPr>
                <w:sz w:val="23"/>
                <w:szCs w:val="23"/>
                <w:color w:val="auto"/>
              </w:rPr>
            </w:pPr>
          </w:p>
        </w:tc>
        <w:tc>
          <w:tcPr>
            <w:tcW w:w="340" w:type="dxa"/>
            <w:vAlign w:val="bottom"/>
            <w:tcBorders>
              <w:bottom w:val="single" w:sz="8" w:color="auto"/>
            </w:tcBorders>
            <w:shd w:val="clear" w:color="auto" w:fill="CDFFCC"/>
          </w:tcPr>
          <w:p>
            <w:pPr>
              <w:spacing w:after="0"/>
              <w:rPr>
                <w:sz w:val="23"/>
                <w:szCs w:val="23"/>
                <w:color w:val="auto"/>
              </w:rPr>
            </w:pPr>
          </w:p>
        </w:tc>
        <w:tc>
          <w:tcPr>
            <w:tcW w:w="1160" w:type="dxa"/>
            <w:vAlign w:val="bottom"/>
            <w:tcBorders>
              <w:bottom w:val="single" w:sz="8" w:color="auto"/>
            </w:tcBorders>
            <w:shd w:val="clear" w:color="auto" w:fill="CDFFCC"/>
          </w:tcPr>
          <w:p>
            <w:pPr>
              <w:spacing w:after="0"/>
              <w:rPr>
                <w:sz w:val="23"/>
                <w:szCs w:val="23"/>
                <w:color w:val="auto"/>
              </w:rPr>
            </w:pPr>
          </w:p>
        </w:tc>
      </w:tr>
      <w:tr>
        <w:trPr>
          <w:trHeight w:val="209"/>
        </w:trPr>
        <w:tc>
          <w:tcPr>
            <w:tcW w:w="7760" w:type="dxa"/>
            <w:vAlign w:val="bottom"/>
          </w:tcPr>
          <w:p>
            <w:pPr>
              <w:ind w:left="20"/>
              <w:spacing w:after="0"/>
              <w:rPr>
                <w:sz w:val="20"/>
                <w:szCs w:val="20"/>
                <w:color w:val="auto"/>
              </w:rPr>
            </w:pPr>
            <w:r>
              <w:rPr>
                <w:rFonts w:ascii="Arial" w:cs="Arial" w:eastAsia="Arial" w:hAnsi="Arial"/>
                <w:sz w:val="16"/>
                <w:szCs w:val="16"/>
                <w:color w:val="auto"/>
              </w:rPr>
              <w:t>Net income attributable to Dentsply Sirona</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7760" w:type="dxa"/>
            <w:vAlign w:val="bottom"/>
            <w:tcBorders>
              <w:bottom w:val="single" w:sz="8" w:color="CDFFC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DFFCC"/>
          </w:tcPr>
          <w:p>
            <w:pPr>
              <w:spacing w:after="0"/>
              <w:rPr>
                <w:sz w:val="20"/>
                <w:szCs w:val="20"/>
                <w:color w:val="auto"/>
              </w:rPr>
            </w:pPr>
          </w:p>
        </w:tc>
        <w:tc>
          <w:tcPr>
            <w:tcW w:w="980" w:type="dxa"/>
            <w:vAlign w:val="bottom"/>
            <w:shd w:val="clear" w:color="auto" w:fill="CDFFCC"/>
          </w:tcPr>
          <w:p>
            <w:pPr>
              <w:spacing w:after="0"/>
              <w:rPr>
                <w:sz w:val="20"/>
                <w:szCs w:val="20"/>
                <w:color w:val="auto"/>
              </w:rPr>
            </w:pPr>
          </w:p>
        </w:tc>
        <w:tc>
          <w:tcPr>
            <w:tcW w:w="52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340" w:type="dxa"/>
            <w:vAlign w:val="bottom"/>
            <w:shd w:val="clear" w:color="auto" w:fill="CDFFCC"/>
          </w:tcPr>
          <w:p>
            <w:pPr>
              <w:spacing w:after="0"/>
              <w:rPr>
                <w:sz w:val="20"/>
                <w:szCs w:val="20"/>
                <w:color w:val="auto"/>
              </w:rPr>
            </w:pPr>
          </w:p>
        </w:tc>
        <w:tc>
          <w:tcPr>
            <w:tcW w:w="1160" w:type="dxa"/>
            <w:vAlign w:val="bottom"/>
            <w:shd w:val="clear" w:color="auto" w:fill="CDFFCC"/>
          </w:tcPr>
          <w:p>
            <w:pPr>
              <w:spacing w:after="0"/>
              <w:rPr>
                <w:sz w:val="20"/>
                <w:szCs w:val="20"/>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Earnings per common share attributable to Dentsply Sirona:</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7760" w:type="dxa"/>
            <w:vAlign w:val="bottom"/>
            <w:shd w:val="clear" w:color="auto" w:fill="CDFFCC"/>
          </w:tcPr>
          <w:p>
            <w:pPr>
              <w:ind w:left="24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DFFCC"/>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0.09</w:t>
            </w:r>
          </w:p>
        </w:tc>
      </w:tr>
      <w:tr>
        <w:trPr>
          <w:trHeight w:val="215"/>
        </w:trPr>
        <w:tc>
          <w:tcPr>
            <w:tcW w:w="7760" w:type="dxa"/>
            <w:vAlign w:val="bottom"/>
          </w:tcPr>
          <w:p>
            <w:pPr>
              <w:ind w:left="240"/>
              <w:spacing w:after="0"/>
              <w:rPr>
                <w:sz w:val="20"/>
                <w:szCs w:val="20"/>
                <w:color w:val="auto"/>
              </w:rPr>
            </w:pPr>
            <w:r>
              <w:rPr>
                <w:rFonts w:ascii="Arial" w:cs="Arial" w:eastAsia="Arial" w:hAnsi="Arial"/>
                <w:sz w:val="16"/>
                <w:szCs w:val="16"/>
                <w:color w:val="auto"/>
              </w:rPr>
              <w:t>Diluted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71"/>
        </w:trPr>
        <w:tc>
          <w:tcPr>
            <w:tcW w:w="7760" w:type="dxa"/>
            <w:vAlign w:val="bottom"/>
            <w:shd w:val="clear" w:color="auto" w:fill="CDFFCC"/>
          </w:tcPr>
          <w:p>
            <w:pPr>
              <w:spacing w:after="0"/>
              <w:rPr>
                <w:sz w:val="23"/>
                <w:szCs w:val="23"/>
                <w:color w:val="auto"/>
              </w:rPr>
            </w:pPr>
          </w:p>
        </w:tc>
        <w:tc>
          <w:tcPr>
            <w:tcW w:w="980" w:type="dxa"/>
            <w:vAlign w:val="bottom"/>
            <w:shd w:val="clear" w:color="auto" w:fill="CDFFCC"/>
          </w:tcPr>
          <w:p>
            <w:pPr>
              <w:spacing w:after="0"/>
              <w:rPr>
                <w:sz w:val="23"/>
                <w:szCs w:val="23"/>
                <w:color w:val="auto"/>
              </w:rPr>
            </w:pPr>
          </w:p>
        </w:tc>
        <w:tc>
          <w:tcPr>
            <w:tcW w:w="520" w:type="dxa"/>
            <w:vAlign w:val="bottom"/>
            <w:shd w:val="clear" w:color="auto" w:fill="CDFFCC"/>
          </w:tcPr>
          <w:p>
            <w:pPr>
              <w:spacing w:after="0"/>
              <w:rPr>
                <w:sz w:val="23"/>
                <w:szCs w:val="23"/>
                <w:color w:val="auto"/>
              </w:rPr>
            </w:pPr>
          </w:p>
        </w:tc>
        <w:tc>
          <w:tcPr>
            <w:tcW w:w="120" w:type="dxa"/>
            <w:vAlign w:val="bottom"/>
            <w:shd w:val="clear" w:color="auto" w:fill="CDFFCC"/>
          </w:tcPr>
          <w:p>
            <w:pPr>
              <w:spacing w:after="0"/>
              <w:rPr>
                <w:sz w:val="23"/>
                <w:szCs w:val="23"/>
                <w:color w:val="auto"/>
              </w:rPr>
            </w:pPr>
          </w:p>
        </w:tc>
        <w:tc>
          <w:tcPr>
            <w:tcW w:w="340" w:type="dxa"/>
            <w:vAlign w:val="bottom"/>
            <w:shd w:val="clear" w:color="auto" w:fill="CDFFCC"/>
          </w:tcPr>
          <w:p>
            <w:pPr>
              <w:spacing w:after="0"/>
              <w:rPr>
                <w:sz w:val="23"/>
                <w:szCs w:val="23"/>
                <w:color w:val="auto"/>
              </w:rPr>
            </w:pPr>
          </w:p>
        </w:tc>
        <w:tc>
          <w:tcPr>
            <w:tcW w:w="1160" w:type="dxa"/>
            <w:vAlign w:val="bottom"/>
            <w:shd w:val="clear" w:color="auto" w:fill="CDFFCC"/>
          </w:tcPr>
          <w:p>
            <w:pPr>
              <w:spacing w:after="0"/>
              <w:rPr>
                <w:sz w:val="23"/>
                <w:szCs w:val="23"/>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7760" w:type="dxa"/>
            <w:vAlign w:val="bottom"/>
            <w:shd w:val="clear" w:color="auto" w:fill="CDFFCC"/>
          </w:tcPr>
          <w:p>
            <w:pPr>
              <w:ind w:left="240"/>
              <w:spacing w:after="0"/>
              <w:rPr>
                <w:sz w:val="20"/>
                <w:szCs w:val="20"/>
                <w:color w:val="auto"/>
              </w:rPr>
            </w:pPr>
            <w:r>
              <w:rPr>
                <w:rFonts w:ascii="Arial" w:cs="Arial" w:eastAsia="Arial" w:hAnsi="Arial"/>
                <w:sz w:val="16"/>
                <w:szCs w:val="16"/>
                <w:color w:val="auto"/>
              </w:rPr>
              <w:t>Basic</w:t>
            </w:r>
          </w:p>
        </w:tc>
        <w:tc>
          <w:tcPr>
            <w:tcW w:w="980" w:type="dxa"/>
            <w:vAlign w:val="bottom"/>
            <w:shd w:val="clear" w:color="auto" w:fill="CDFFCC"/>
          </w:tcPr>
          <w:p>
            <w:pPr>
              <w:spacing w:after="0"/>
              <w:rPr>
                <w:sz w:val="18"/>
                <w:szCs w:val="18"/>
                <w:color w:val="auto"/>
              </w:rPr>
            </w:pPr>
          </w:p>
        </w:tc>
        <w:tc>
          <w:tcPr>
            <w:tcW w:w="520" w:type="dxa"/>
            <w:vAlign w:val="bottom"/>
            <w:shd w:val="clear" w:color="auto" w:fill="CDFFCC"/>
          </w:tcPr>
          <w:p>
            <w:pPr>
              <w:jc w:val="right"/>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DFFCC"/>
          </w:tcPr>
          <w:p>
            <w:pPr>
              <w:spacing w:after="0"/>
              <w:rPr>
                <w:sz w:val="18"/>
                <w:szCs w:val="18"/>
                <w:color w:val="auto"/>
              </w:rPr>
            </w:pPr>
          </w:p>
        </w:tc>
        <w:tc>
          <w:tcPr>
            <w:tcW w:w="340" w:type="dxa"/>
            <w:vAlign w:val="bottom"/>
            <w:shd w:val="clear" w:color="auto" w:fill="CDFFCC"/>
          </w:tcPr>
          <w:p>
            <w:pPr>
              <w:spacing w:after="0"/>
              <w:rPr>
                <w:sz w:val="18"/>
                <w:szCs w:val="18"/>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6"/>
                <w:szCs w:val="16"/>
                <w:color w:val="auto"/>
              </w:rPr>
              <w:t>207.4</w:t>
            </w:r>
          </w:p>
        </w:tc>
      </w:tr>
      <w:tr>
        <w:trPr>
          <w:trHeight w:val="215"/>
        </w:trPr>
        <w:tc>
          <w:tcPr>
            <w:tcW w:w="7760" w:type="dxa"/>
            <w:vAlign w:val="bottom"/>
          </w:tcPr>
          <w:p>
            <w:pPr>
              <w:ind w:left="240"/>
              <w:spacing w:after="0"/>
              <w:rPr>
                <w:sz w:val="20"/>
                <w:szCs w:val="20"/>
                <w:color w:val="auto"/>
              </w:rPr>
            </w:pPr>
            <w:r>
              <w:rPr>
                <w:rFonts w:ascii="Arial" w:cs="Arial" w:eastAsia="Arial" w:hAnsi="Arial"/>
                <w:sz w:val="16"/>
                <w:szCs w:val="16"/>
                <w:color w:val="auto"/>
              </w:rPr>
              <w:t>Diluted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208.5</w:t>
            </w:r>
          </w:p>
        </w:tc>
      </w:tr>
    </w:tbl>
    <w:p>
      <w:pPr>
        <w:sectPr>
          <w:pgSz w:w="11900" w:h="16838" w:orient="portrait"/>
          <w:cols w:equalWidth="0" w:num="1">
            <w:col w:w="10880"/>
          </w:cols>
          <w:pgMar w:left="320" w:top="931" w:right="6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March 31, 2025</w:t>
            </w:r>
          </w:p>
        </w:tc>
        <w:tc>
          <w:tcPr>
            <w:tcW w:w="220" w:type="dxa"/>
            <w:vAlign w:val="bottom"/>
          </w:tcPr>
          <w:p>
            <w:pPr>
              <w:spacing w:after="0"/>
              <w:rPr>
                <w:sz w:val="20"/>
                <w:szCs w:val="20"/>
                <w:color w:val="auto"/>
              </w:rPr>
            </w:pP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December 31, 2024</w:t>
            </w:r>
          </w:p>
        </w:tc>
      </w:tr>
      <w:tr>
        <w:trPr>
          <w:trHeight w:val="88"/>
        </w:trPr>
        <w:tc>
          <w:tcPr>
            <w:tcW w:w="67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980" w:type="dxa"/>
            <w:vAlign w:val="bottom"/>
            <w:tcBorders>
              <w:top w:val="single" w:sz="8" w:color="auto"/>
            </w:tcBorders>
          </w:tcPr>
          <w:p>
            <w:pPr>
              <w:spacing w:after="0"/>
              <w:rPr>
                <w:sz w:val="7"/>
                <w:szCs w:val="7"/>
                <w:color w:val="auto"/>
              </w:rPr>
            </w:pPr>
          </w:p>
        </w:tc>
      </w:tr>
      <w:tr>
        <w:trPr>
          <w:trHeight w:val="229"/>
        </w:trPr>
        <w:tc>
          <w:tcPr>
            <w:tcW w:w="6720" w:type="dxa"/>
            <w:vAlign w:val="bottom"/>
            <w:shd w:val="clear" w:color="auto" w:fill="CDFFC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spacing w:after="0"/>
              <w:rPr>
                <w:sz w:val="19"/>
                <w:szCs w:val="19"/>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6720" w:type="dxa"/>
            <w:vAlign w:val="bottom"/>
            <w:shd w:val="clear" w:color="auto" w:fill="CDFFCC"/>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DFFCC"/>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Accounts and notes receivable-trade,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6720" w:type="dxa"/>
            <w:vAlign w:val="bottom"/>
            <w:shd w:val="clear" w:color="auto" w:fill="CDFFCC"/>
          </w:tcPr>
          <w:p>
            <w:pPr>
              <w:ind w:left="24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6720" w:type="dxa"/>
            <w:vAlign w:val="bottom"/>
            <w:tcBorders>
              <w:bottom w:val="single" w:sz="8" w:color="CDFFC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D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23"/>
        </w:trPr>
        <w:tc>
          <w:tcPr>
            <w:tcW w:w="6720" w:type="dxa"/>
            <w:vAlign w:val="bottom"/>
            <w:shd w:val="clear" w:color="auto" w:fill="CDFFCC"/>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1,746</w:t>
            </w:r>
          </w:p>
        </w:tc>
      </w:tr>
      <w:tr>
        <w:trPr>
          <w:trHeight w:val="270"/>
        </w:trPr>
        <w:tc>
          <w:tcPr>
            <w:tcW w:w="6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30"/>
        </w:trPr>
        <w:tc>
          <w:tcPr>
            <w:tcW w:w="6720" w:type="dxa"/>
            <w:vAlign w:val="bottom"/>
            <w:shd w:val="clear" w:color="auto" w:fill="CDFFCC"/>
          </w:tcPr>
          <w:p>
            <w:pPr>
              <w:ind w:left="1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Operating lease right-of-use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720" w:type="dxa"/>
            <w:vAlign w:val="bottom"/>
            <w:shd w:val="clear" w:color="auto" w:fill="CDFFCC"/>
          </w:tcPr>
          <w:p>
            <w:pPr>
              <w:ind w:left="140"/>
              <w:spacing w:after="0"/>
              <w:rPr>
                <w:sz w:val="20"/>
                <w:szCs w:val="20"/>
                <w:color w:val="auto"/>
              </w:rPr>
            </w:pPr>
            <w:r>
              <w:rPr>
                <w:rFonts w:ascii="Arial" w:cs="Arial" w:eastAsia="Arial" w:hAnsi="Arial"/>
                <w:sz w:val="18"/>
                <w:szCs w:val="18"/>
                <w:color w:val="auto"/>
              </w:rPr>
              <w:t>Identifiable intangible assets, net</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29"/>
        </w:trPr>
        <w:tc>
          <w:tcPr>
            <w:tcW w:w="6720" w:type="dxa"/>
            <w:vAlign w:val="bottom"/>
            <w:shd w:val="clear" w:color="auto" w:fill="CDFFCC"/>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DFFCC"/>
          </w:tcPr>
          <w:p>
            <w:pPr>
              <w:spacing w:after="0"/>
              <w:rPr>
                <w:sz w:val="19"/>
                <w:szCs w:val="19"/>
                <w:color w:val="auto"/>
              </w:rPr>
            </w:pPr>
          </w:p>
        </w:tc>
        <w:tc>
          <w:tcPr>
            <w:tcW w:w="19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DFFCC"/>
          </w:tcPr>
          <w:p>
            <w:pPr>
              <w:spacing w:after="0"/>
              <w:rPr>
                <w:sz w:val="19"/>
                <w:szCs w:val="19"/>
                <w:color w:val="auto"/>
              </w:rPr>
            </w:pPr>
          </w:p>
        </w:tc>
        <w:tc>
          <w:tcPr>
            <w:tcW w:w="220" w:type="dxa"/>
            <w:vAlign w:val="bottom"/>
            <w:tcBorders>
              <w:bottom w:val="single" w:sz="8" w:color="auto"/>
            </w:tcBorders>
            <w:shd w:val="clear" w:color="auto" w:fill="CDFFCC"/>
          </w:tcPr>
          <w:p>
            <w:pPr>
              <w:spacing w:after="0"/>
              <w:rPr>
                <w:sz w:val="19"/>
                <w:szCs w:val="19"/>
                <w:color w:val="auto"/>
              </w:rPr>
            </w:pPr>
          </w:p>
        </w:tc>
        <w:tc>
          <w:tcPr>
            <w:tcW w:w="19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w:t>
            </w:r>
          </w:p>
        </w:tc>
      </w:tr>
      <w:tr>
        <w:trPr>
          <w:trHeight w:val="20"/>
        </w:trPr>
        <w:tc>
          <w:tcPr>
            <w:tcW w:w="6720" w:type="dxa"/>
            <w:vAlign w:val="bottom"/>
            <w:tcBorders>
              <w:bottom w:val="single" w:sz="8" w:color="CDFFC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DFFCC"/>
          </w:tcPr>
          <w:p>
            <w:pPr>
              <w:spacing w:after="0"/>
              <w:rPr>
                <w:sz w:val="20"/>
                <w:szCs w:val="20"/>
                <w:color w:val="auto"/>
              </w:rPr>
            </w:pPr>
          </w:p>
        </w:tc>
        <w:tc>
          <w:tcPr>
            <w:tcW w:w="300" w:type="dxa"/>
            <w:vAlign w:val="bottom"/>
            <w:shd w:val="clear" w:color="auto" w:fill="CDFFCC"/>
          </w:tcPr>
          <w:p>
            <w:pPr>
              <w:spacing w:after="0"/>
              <w:rPr>
                <w:sz w:val="20"/>
                <w:szCs w:val="20"/>
                <w:color w:val="auto"/>
              </w:rPr>
            </w:pPr>
          </w:p>
        </w:tc>
        <w:tc>
          <w:tcPr>
            <w:tcW w:w="1900" w:type="dxa"/>
            <w:vAlign w:val="bottom"/>
            <w:shd w:val="clear" w:color="auto" w:fill="CDFFCC"/>
          </w:tcPr>
          <w:p>
            <w:pPr>
              <w:spacing w:after="0"/>
              <w:rPr>
                <w:sz w:val="20"/>
                <w:szCs w:val="20"/>
                <w:color w:val="auto"/>
              </w:rPr>
            </w:pPr>
          </w:p>
        </w:tc>
        <w:tc>
          <w:tcPr>
            <w:tcW w:w="120" w:type="dxa"/>
            <w:vAlign w:val="bottom"/>
            <w:shd w:val="clear" w:color="auto" w:fill="CDFFCC"/>
          </w:tcPr>
          <w:p>
            <w:pPr>
              <w:spacing w:after="0"/>
              <w:rPr>
                <w:sz w:val="20"/>
                <w:szCs w:val="20"/>
                <w:color w:val="auto"/>
              </w:rPr>
            </w:pPr>
          </w:p>
        </w:tc>
        <w:tc>
          <w:tcPr>
            <w:tcW w:w="220" w:type="dxa"/>
            <w:vAlign w:val="bottom"/>
            <w:shd w:val="clear" w:color="auto" w:fill="CDFFCC"/>
          </w:tcPr>
          <w:p>
            <w:pPr>
              <w:spacing w:after="0"/>
              <w:rPr>
                <w:sz w:val="20"/>
                <w:szCs w:val="20"/>
                <w:color w:val="auto"/>
              </w:rPr>
            </w:pPr>
          </w:p>
        </w:tc>
        <w:tc>
          <w:tcPr>
            <w:tcW w:w="1980" w:type="dxa"/>
            <w:vAlign w:val="bottom"/>
            <w:shd w:val="clear" w:color="auto" w:fill="CDFFCC"/>
          </w:tcPr>
          <w:p>
            <w:pPr>
              <w:spacing w:after="0"/>
              <w:rPr>
                <w:sz w:val="20"/>
                <w:szCs w:val="20"/>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6720" w:type="dxa"/>
            <w:vAlign w:val="bottom"/>
            <w:shd w:val="clear" w:color="auto" w:fill="CDFFCC"/>
          </w:tcPr>
          <w:p>
            <w:pPr>
              <w:ind w:left="10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spacing w:after="0"/>
              <w:rPr>
                <w:sz w:val="19"/>
                <w:szCs w:val="19"/>
                <w:color w:val="auto"/>
              </w:rPr>
            </w:pP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6720" w:type="dxa"/>
            <w:vAlign w:val="bottom"/>
            <w:shd w:val="clear" w:color="auto" w:fill="CDFFCC"/>
          </w:tcPr>
          <w:p>
            <w:pPr>
              <w:ind w:left="2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754</w:t>
            </w:r>
          </w:p>
        </w:tc>
      </w:tr>
      <w:tr>
        <w:trPr>
          <w:trHeight w:val="229"/>
        </w:trPr>
        <w:tc>
          <w:tcPr>
            <w:tcW w:w="67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720" w:type="dxa"/>
            <w:vAlign w:val="bottom"/>
            <w:shd w:val="clear" w:color="auto" w:fill="CDFFCC"/>
          </w:tcPr>
          <w:p>
            <w:pPr>
              <w:ind w:left="240"/>
              <w:spacing w:after="0"/>
              <w:rPr>
                <w:sz w:val="20"/>
                <w:szCs w:val="20"/>
                <w:color w:val="auto"/>
              </w:rPr>
            </w:pPr>
            <w:r>
              <w:rPr>
                <w:rFonts w:ascii="Arial" w:cs="Arial" w:eastAsia="Arial" w:hAnsi="Arial"/>
                <w:sz w:val="18"/>
                <w:szCs w:val="18"/>
                <w:color w:val="auto"/>
              </w:rPr>
              <w:t>Notes payable and current portion of long-term debt</w:t>
            </w:r>
          </w:p>
        </w:tc>
        <w:tc>
          <w:tcPr>
            <w:tcW w:w="300" w:type="dxa"/>
            <w:vAlign w:val="bottom"/>
            <w:tcBorders>
              <w:bottom w:val="single" w:sz="8" w:color="auto"/>
            </w:tcBorders>
            <w:shd w:val="clear" w:color="auto" w:fill="CDFFCC"/>
          </w:tcPr>
          <w:p>
            <w:pPr>
              <w:spacing w:after="0"/>
              <w:rPr>
                <w:sz w:val="19"/>
                <w:szCs w:val="19"/>
                <w:color w:val="auto"/>
              </w:rPr>
            </w:pPr>
          </w:p>
        </w:tc>
        <w:tc>
          <w:tcPr>
            <w:tcW w:w="19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DFFCC"/>
          </w:tcPr>
          <w:p>
            <w:pPr>
              <w:spacing w:after="0"/>
              <w:rPr>
                <w:sz w:val="19"/>
                <w:szCs w:val="19"/>
                <w:color w:val="auto"/>
              </w:rPr>
            </w:pPr>
          </w:p>
        </w:tc>
        <w:tc>
          <w:tcPr>
            <w:tcW w:w="220" w:type="dxa"/>
            <w:vAlign w:val="bottom"/>
            <w:tcBorders>
              <w:bottom w:val="single" w:sz="8" w:color="auto"/>
            </w:tcBorders>
            <w:shd w:val="clear" w:color="auto" w:fill="CDFFCC"/>
          </w:tcPr>
          <w:p>
            <w:pPr>
              <w:spacing w:after="0"/>
              <w:rPr>
                <w:sz w:val="19"/>
                <w:szCs w:val="19"/>
                <w:color w:val="auto"/>
              </w:rPr>
            </w:pPr>
          </w:p>
        </w:tc>
        <w:tc>
          <w:tcPr>
            <w:tcW w:w="19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70"/>
        </w:trPr>
        <w:tc>
          <w:tcPr>
            <w:tcW w:w="6720" w:type="dxa"/>
            <w:vAlign w:val="bottom"/>
            <w:shd w:val="clear" w:color="auto" w:fill="CDFFCC"/>
          </w:tcPr>
          <w:p>
            <w:pPr>
              <w:spacing w:after="0"/>
              <w:rPr>
                <w:sz w:val="23"/>
                <w:szCs w:val="23"/>
                <w:color w:val="auto"/>
              </w:rPr>
            </w:pPr>
          </w:p>
        </w:tc>
        <w:tc>
          <w:tcPr>
            <w:tcW w:w="300" w:type="dxa"/>
            <w:vAlign w:val="bottom"/>
            <w:shd w:val="clear" w:color="auto" w:fill="CDFFCC"/>
          </w:tcPr>
          <w:p>
            <w:pPr>
              <w:spacing w:after="0"/>
              <w:rPr>
                <w:sz w:val="23"/>
                <w:szCs w:val="23"/>
                <w:color w:val="auto"/>
              </w:rPr>
            </w:pPr>
          </w:p>
        </w:tc>
        <w:tc>
          <w:tcPr>
            <w:tcW w:w="1900" w:type="dxa"/>
            <w:vAlign w:val="bottom"/>
            <w:shd w:val="clear" w:color="auto" w:fill="CDFFCC"/>
          </w:tcPr>
          <w:p>
            <w:pPr>
              <w:spacing w:after="0"/>
              <w:rPr>
                <w:sz w:val="23"/>
                <w:szCs w:val="23"/>
                <w:color w:val="auto"/>
              </w:rPr>
            </w:pPr>
          </w:p>
        </w:tc>
        <w:tc>
          <w:tcPr>
            <w:tcW w:w="120" w:type="dxa"/>
            <w:vAlign w:val="bottom"/>
            <w:shd w:val="clear" w:color="auto" w:fill="CDFFCC"/>
          </w:tcPr>
          <w:p>
            <w:pPr>
              <w:spacing w:after="0"/>
              <w:rPr>
                <w:sz w:val="23"/>
                <w:szCs w:val="23"/>
                <w:color w:val="auto"/>
              </w:rPr>
            </w:pPr>
          </w:p>
        </w:tc>
        <w:tc>
          <w:tcPr>
            <w:tcW w:w="220" w:type="dxa"/>
            <w:vAlign w:val="bottom"/>
            <w:shd w:val="clear" w:color="auto" w:fill="CDFFCC"/>
          </w:tcPr>
          <w:p>
            <w:pPr>
              <w:spacing w:after="0"/>
              <w:rPr>
                <w:sz w:val="23"/>
                <w:szCs w:val="23"/>
                <w:color w:val="auto"/>
              </w:rPr>
            </w:pPr>
          </w:p>
        </w:tc>
        <w:tc>
          <w:tcPr>
            <w:tcW w:w="1980" w:type="dxa"/>
            <w:vAlign w:val="bottom"/>
            <w:shd w:val="clear" w:color="auto" w:fill="CDFFCC"/>
          </w:tcPr>
          <w:p>
            <w:pPr>
              <w:spacing w:after="0"/>
              <w:rPr>
                <w:sz w:val="23"/>
                <w:szCs w:val="23"/>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30"/>
        </w:trPr>
        <w:tc>
          <w:tcPr>
            <w:tcW w:w="6720" w:type="dxa"/>
            <w:vAlign w:val="bottom"/>
            <w:shd w:val="clear" w:color="auto" w:fill="CDFFCC"/>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DFFCC"/>
          </w:tcPr>
          <w:p>
            <w:pPr>
              <w:spacing w:after="0"/>
              <w:rPr>
                <w:sz w:val="19"/>
                <w:szCs w:val="19"/>
                <w:color w:val="auto"/>
              </w:rPr>
            </w:pPr>
          </w:p>
        </w:tc>
        <w:tc>
          <w:tcPr>
            <w:tcW w:w="1900" w:type="dxa"/>
            <w:vAlign w:val="bottom"/>
            <w:shd w:val="clear" w:color="auto" w:fill="CDFFC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980" w:type="dxa"/>
            <w:vAlign w:val="bottom"/>
            <w:shd w:val="clear" w:color="auto" w:fill="CDFFCC"/>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720" w:type="dxa"/>
            <w:vAlign w:val="bottom"/>
            <w:shd w:val="clear" w:color="auto" w:fill="CDFFCC"/>
          </w:tcPr>
          <w:p>
            <w:pPr>
              <w:ind w:left="1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DFFCC"/>
          </w:tcPr>
          <w:p>
            <w:pPr>
              <w:spacing w:after="0"/>
              <w:rPr>
                <w:sz w:val="19"/>
                <w:szCs w:val="19"/>
                <w:color w:val="auto"/>
              </w:rPr>
            </w:pPr>
          </w:p>
        </w:tc>
        <w:tc>
          <w:tcPr>
            <w:tcW w:w="190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DFFCC"/>
          </w:tcPr>
          <w:p>
            <w:pPr>
              <w:spacing w:after="0"/>
              <w:rPr>
                <w:sz w:val="19"/>
                <w:szCs w:val="19"/>
                <w:color w:val="auto"/>
              </w:rPr>
            </w:pPr>
          </w:p>
        </w:tc>
        <w:tc>
          <w:tcPr>
            <w:tcW w:w="220" w:type="dxa"/>
            <w:vAlign w:val="bottom"/>
            <w:tcBorders>
              <w:bottom w:val="single" w:sz="8" w:color="auto"/>
            </w:tcBorders>
            <w:shd w:val="clear" w:color="auto" w:fill="CDFFCC"/>
          </w:tcPr>
          <w:p>
            <w:pPr>
              <w:spacing w:after="0"/>
              <w:rPr>
                <w:sz w:val="19"/>
                <w:szCs w:val="19"/>
                <w:color w:val="auto"/>
              </w:rPr>
            </w:pPr>
          </w:p>
        </w:tc>
        <w:tc>
          <w:tcPr>
            <w:tcW w:w="19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672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D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w:t>
            </w:r>
          </w:p>
        </w:tc>
      </w:tr>
      <w:tr>
        <w:trPr>
          <w:trHeight w:val="250"/>
        </w:trPr>
        <w:tc>
          <w:tcPr>
            <w:tcW w:w="6720" w:type="dxa"/>
            <w:vAlign w:val="bottom"/>
            <w:shd w:val="clear" w:color="auto" w:fill="CDFFCC"/>
          </w:tcPr>
          <w:p>
            <w:pPr>
              <w:spacing w:after="0"/>
              <w:rPr>
                <w:sz w:val="21"/>
                <w:szCs w:val="21"/>
                <w:color w:val="auto"/>
              </w:rPr>
            </w:pPr>
          </w:p>
        </w:tc>
        <w:tc>
          <w:tcPr>
            <w:tcW w:w="300" w:type="dxa"/>
            <w:vAlign w:val="bottom"/>
            <w:shd w:val="clear" w:color="auto" w:fill="CDFFCC"/>
          </w:tcPr>
          <w:p>
            <w:pPr>
              <w:spacing w:after="0"/>
              <w:rPr>
                <w:sz w:val="21"/>
                <w:szCs w:val="21"/>
                <w:color w:val="auto"/>
              </w:rPr>
            </w:pPr>
          </w:p>
        </w:tc>
        <w:tc>
          <w:tcPr>
            <w:tcW w:w="1900" w:type="dxa"/>
            <w:vAlign w:val="bottom"/>
            <w:shd w:val="clear" w:color="auto" w:fill="CDFFCC"/>
          </w:tcPr>
          <w:p>
            <w:pPr>
              <w:spacing w:after="0"/>
              <w:rPr>
                <w:sz w:val="21"/>
                <w:szCs w:val="21"/>
                <w:color w:val="auto"/>
              </w:rPr>
            </w:pPr>
          </w:p>
        </w:tc>
        <w:tc>
          <w:tcPr>
            <w:tcW w:w="120" w:type="dxa"/>
            <w:vAlign w:val="bottom"/>
            <w:shd w:val="clear" w:color="auto" w:fill="CDFFCC"/>
          </w:tcPr>
          <w:p>
            <w:pPr>
              <w:spacing w:after="0"/>
              <w:rPr>
                <w:sz w:val="21"/>
                <w:szCs w:val="21"/>
                <w:color w:val="auto"/>
              </w:rPr>
            </w:pPr>
          </w:p>
        </w:tc>
        <w:tc>
          <w:tcPr>
            <w:tcW w:w="220" w:type="dxa"/>
            <w:vAlign w:val="bottom"/>
            <w:shd w:val="clear" w:color="auto" w:fill="CDFFCC"/>
          </w:tcPr>
          <w:p>
            <w:pPr>
              <w:spacing w:after="0"/>
              <w:rPr>
                <w:sz w:val="21"/>
                <w:szCs w:val="21"/>
                <w:color w:val="auto"/>
              </w:rPr>
            </w:pPr>
          </w:p>
        </w:tc>
        <w:tc>
          <w:tcPr>
            <w:tcW w:w="1980" w:type="dxa"/>
            <w:vAlign w:val="bottom"/>
            <w:shd w:val="clear" w:color="auto" w:fill="CDFFCC"/>
          </w:tcPr>
          <w:p>
            <w:pPr>
              <w:spacing w:after="0"/>
              <w:rPr>
                <w:sz w:val="21"/>
                <w:szCs w:val="21"/>
                <w:color w:val="auto"/>
              </w:rPr>
            </w:pPr>
          </w:p>
        </w:tc>
      </w:tr>
      <w:tr>
        <w:trPr>
          <w:trHeight w:val="230"/>
        </w:trPr>
        <w:tc>
          <w:tcPr>
            <w:tcW w:w="6720" w:type="dxa"/>
            <w:vAlign w:val="bottom"/>
            <w:tcBorders>
              <w:bottom w:val="single" w:sz="8" w:color="CDFFCC"/>
            </w:tcBorders>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D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r>
      <w:tr>
        <w:trPr>
          <w:trHeight w:val="250"/>
        </w:trPr>
        <w:tc>
          <w:tcPr>
            <w:tcW w:w="6720" w:type="dxa"/>
            <w:vAlign w:val="bottom"/>
            <w:shd w:val="clear" w:color="auto" w:fill="CDFFCC"/>
          </w:tcPr>
          <w:p>
            <w:pPr>
              <w:spacing w:after="0"/>
              <w:rPr>
                <w:sz w:val="21"/>
                <w:szCs w:val="21"/>
                <w:color w:val="auto"/>
              </w:rPr>
            </w:pPr>
          </w:p>
        </w:tc>
        <w:tc>
          <w:tcPr>
            <w:tcW w:w="300" w:type="dxa"/>
            <w:vAlign w:val="bottom"/>
            <w:shd w:val="clear" w:color="auto" w:fill="CDFFCC"/>
          </w:tcPr>
          <w:p>
            <w:pPr>
              <w:spacing w:after="0"/>
              <w:rPr>
                <w:sz w:val="21"/>
                <w:szCs w:val="21"/>
                <w:color w:val="auto"/>
              </w:rPr>
            </w:pPr>
          </w:p>
        </w:tc>
        <w:tc>
          <w:tcPr>
            <w:tcW w:w="1900" w:type="dxa"/>
            <w:vAlign w:val="bottom"/>
            <w:shd w:val="clear" w:color="auto" w:fill="CDFFCC"/>
          </w:tcPr>
          <w:p>
            <w:pPr>
              <w:spacing w:after="0"/>
              <w:rPr>
                <w:sz w:val="21"/>
                <w:szCs w:val="21"/>
                <w:color w:val="auto"/>
              </w:rPr>
            </w:pPr>
          </w:p>
        </w:tc>
        <w:tc>
          <w:tcPr>
            <w:tcW w:w="120" w:type="dxa"/>
            <w:vAlign w:val="bottom"/>
            <w:shd w:val="clear" w:color="auto" w:fill="CDFFCC"/>
          </w:tcPr>
          <w:p>
            <w:pPr>
              <w:spacing w:after="0"/>
              <w:rPr>
                <w:sz w:val="21"/>
                <w:szCs w:val="21"/>
                <w:color w:val="auto"/>
              </w:rPr>
            </w:pPr>
          </w:p>
        </w:tc>
        <w:tc>
          <w:tcPr>
            <w:tcW w:w="220" w:type="dxa"/>
            <w:vAlign w:val="bottom"/>
            <w:shd w:val="clear" w:color="auto" w:fill="CDFFCC"/>
          </w:tcPr>
          <w:p>
            <w:pPr>
              <w:spacing w:after="0"/>
              <w:rPr>
                <w:sz w:val="21"/>
                <w:szCs w:val="21"/>
                <w:color w:val="auto"/>
              </w:rPr>
            </w:pPr>
          </w:p>
        </w:tc>
        <w:tc>
          <w:tcPr>
            <w:tcW w:w="1980" w:type="dxa"/>
            <w:vAlign w:val="bottom"/>
            <w:shd w:val="clear" w:color="auto" w:fill="CDFFCC"/>
          </w:tcPr>
          <w:p>
            <w:pPr>
              <w:spacing w:after="0"/>
              <w:rPr>
                <w:sz w:val="21"/>
                <w:szCs w:val="2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96"/>
        </w:trPr>
        <w:tc>
          <w:tcPr>
            <w:tcW w:w="8080" w:type="dxa"/>
            <w:vAlign w:val="bottom"/>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r>
      <w:tr>
        <w:trPr>
          <w:trHeight w:val="92"/>
        </w:trPr>
        <w:tc>
          <w:tcPr>
            <w:tcW w:w="8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3"/>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spacing w:after="0"/>
              <w:rPr>
                <w:sz w:val="17"/>
                <w:szCs w:val="17"/>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12"/>
        </w:trPr>
        <w:tc>
          <w:tcPr>
            <w:tcW w:w="8080" w:type="dxa"/>
            <w:vAlign w:val="bottom"/>
            <w:shd w:val="clear" w:color="auto" w:fill="CDFFCC"/>
          </w:tcPr>
          <w:p>
            <w:pPr>
              <w:spacing w:after="0"/>
              <w:rPr>
                <w:sz w:val="9"/>
                <w:szCs w:val="9"/>
                <w:color w:val="auto"/>
              </w:rPr>
            </w:pPr>
          </w:p>
        </w:tc>
        <w:tc>
          <w:tcPr>
            <w:tcW w:w="1020" w:type="dxa"/>
            <w:vAlign w:val="bottom"/>
            <w:shd w:val="clear" w:color="auto" w:fill="CDFFCC"/>
          </w:tcPr>
          <w:p>
            <w:pPr>
              <w:spacing w:after="0"/>
              <w:rPr>
                <w:sz w:val="9"/>
                <w:szCs w:val="9"/>
                <w:color w:val="auto"/>
              </w:rPr>
            </w:pPr>
          </w:p>
        </w:tc>
        <w:tc>
          <w:tcPr>
            <w:tcW w:w="480" w:type="dxa"/>
            <w:vAlign w:val="bottom"/>
            <w:shd w:val="clear" w:color="auto" w:fill="CDFFCC"/>
          </w:tcPr>
          <w:p>
            <w:pPr>
              <w:spacing w:after="0"/>
              <w:rPr>
                <w:sz w:val="9"/>
                <w:szCs w:val="9"/>
                <w:color w:val="auto"/>
              </w:rPr>
            </w:pPr>
          </w:p>
        </w:tc>
        <w:tc>
          <w:tcPr>
            <w:tcW w:w="120" w:type="dxa"/>
            <w:vAlign w:val="bottom"/>
            <w:shd w:val="clear" w:color="auto" w:fill="CDFFCC"/>
          </w:tcPr>
          <w:p>
            <w:pPr>
              <w:spacing w:after="0"/>
              <w:rPr>
                <w:sz w:val="9"/>
                <w:szCs w:val="9"/>
                <w:color w:val="auto"/>
              </w:rPr>
            </w:pPr>
          </w:p>
        </w:tc>
        <w:tc>
          <w:tcPr>
            <w:tcW w:w="1080" w:type="dxa"/>
            <w:vAlign w:val="bottom"/>
            <w:shd w:val="clear" w:color="auto" w:fill="CDFFCC"/>
          </w:tcPr>
          <w:p>
            <w:pPr>
              <w:spacing w:after="0"/>
              <w:rPr>
                <w:sz w:val="9"/>
                <w:szCs w:val="9"/>
                <w:color w:val="auto"/>
              </w:rPr>
            </w:pPr>
          </w:p>
        </w:tc>
        <w:tc>
          <w:tcPr>
            <w:tcW w:w="420" w:type="dxa"/>
            <w:vAlign w:val="bottom"/>
            <w:shd w:val="clear" w:color="auto" w:fill="CDFFCC"/>
          </w:tcPr>
          <w:p>
            <w:pPr>
              <w:spacing w:after="0"/>
              <w:rPr>
                <w:sz w:val="9"/>
                <w:szCs w:val="9"/>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7"/>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Depreciation</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32</w:t>
            </w: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6"/>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Indefinite-lived intangible asset impairment</w:t>
            </w:r>
          </w:p>
        </w:tc>
        <w:tc>
          <w:tcPr>
            <w:tcW w:w="1020" w:type="dxa"/>
            <w:vAlign w:val="bottom"/>
            <w:shd w:val="clear" w:color="auto" w:fill="CDFFCC"/>
          </w:tcPr>
          <w:p>
            <w:pPr>
              <w:spacing w:after="0"/>
              <w:rPr>
                <w:sz w:val="17"/>
                <w:szCs w:val="17"/>
                <w:color w:val="auto"/>
              </w:rPr>
            </w:pPr>
          </w:p>
        </w:tc>
        <w:tc>
          <w:tcPr>
            <w:tcW w:w="600" w:type="dxa"/>
            <w:vAlign w:val="bottom"/>
            <w:gridSpan w:val="2"/>
            <w:shd w:val="clear" w:color="auto" w:fill="CDFFCC"/>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0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6"/>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8080" w:type="dxa"/>
            <w:vAlign w:val="bottom"/>
          </w:tcPr>
          <w:p>
            <w:pPr>
              <w:ind w:left="140"/>
              <w:spacing w:after="0"/>
              <w:rPr>
                <w:sz w:val="20"/>
                <w:szCs w:val="20"/>
                <w:color w:val="auto"/>
              </w:rPr>
            </w:pPr>
            <w:r>
              <w:rPr>
                <w:rFonts w:ascii="Arial" w:cs="Arial" w:eastAsia="Arial" w:hAnsi="Arial"/>
                <w:sz w:val="14"/>
                <w:szCs w:val="14"/>
                <w:color w:val="auto"/>
              </w:rPr>
              <w:t>Other non-cash expense</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6"/>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spacing w:after="0"/>
              <w:rPr>
                <w:sz w:val="17"/>
                <w:szCs w:val="17"/>
                <w:color w:val="auto"/>
              </w:rPr>
            </w:pPr>
          </w:p>
        </w:tc>
      </w:tr>
      <w:tr>
        <w:trPr>
          <w:trHeight w:val="199"/>
        </w:trPr>
        <w:tc>
          <w:tcPr>
            <w:tcW w:w="8080" w:type="dxa"/>
            <w:vAlign w:val="bottom"/>
          </w:tcPr>
          <w:p>
            <w:pPr>
              <w:ind w:left="360"/>
              <w:spacing w:after="0"/>
              <w:rPr>
                <w:sz w:val="20"/>
                <w:szCs w:val="20"/>
                <w:color w:val="auto"/>
              </w:rPr>
            </w:pPr>
            <w:r>
              <w:rPr>
                <w:rFonts w:ascii="Arial" w:cs="Arial" w:eastAsia="Arial" w:hAnsi="Arial"/>
                <w:sz w:val="14"/>
                <w:szCs w:val="14"/>
                <w:color w:val="auto"/>
              </w:rPr>
              <w:t>Accounts and notes receivable-trade, net</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6"/>
        </w:trPr>
        <w:tc>
          <w:tcPr>
            <w:tcW w:w="8080" w:type="dxa"/>
            <w:vAlign w:val="bottom"/>
            <w:shd w:val="clear" w:color="auto" w:fill="CDFFCC"/>
          </w:tcPr>
          <w:p>
            <w:pPr>
              <w:ind w:left="360"/>
              <w:spacing w:after="0"/>
              <w:rPr>
                <w:sz w:val="20"/>
                <w:szCs w:val="20"/>
                <w:color w:val="auto"/>
              </w:rPr>
            </w:pPr>
            <w:r>
              <w:rPr>
                <w:rFonts w:ascii="Arial" w:cs="Arial" w:eastAsia="Arial" w:hAnsi="Arial"/>
                <w:sz w:val="14"/>
                <w:szCs w:val="14"/>
                <w:color w:val="auto"/>
              </w:rPr>
              <w:t>Inventories, net</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0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6"/>
        </w:trPr>
        <w:tc>
          <w:tcPr>
            <w:tcW w:w="8080" w:type="dxa"/>
            <w:vAlign w:val="bottom"/>
            <w:shd w:val="clear" w:color="auto" w:fill="CDFFCC"/>
          </w:tcPr>
          <w:p>
            <w:pPr>
              <w:ind w:left="360"/>
              <w:spacing w:after="0"/>
              <w:rPr>
                <w:sz w:val="20"/>
                <w:szCs w:val="20"/>
                <w:color w:val="auto"/>
              </w:rPr>
            </w:pPr>
            <w:r>
              <w:rPr>
                <w:rFonts w:ascii="Arial" w:cs="Arial" w:eastAsia="Arial" w:hAnsi="Arial"/>
                <w:sz w:val="14"/>
                <w:szCs w:val="14"/>
                <w:color w:val="auto"/>
              </w:rPr>
              <w:t>Other noncurrent assets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0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6"/>
        </w:trPr>
        <w:tc>
          <w:tcPr>
            <w:tcW w:w="8080" w:type="dxa"/>
            <w:vAlign w:val="bottom"/>
            <w:shd w:val="clear" w:color="auto" w:fill="CDFFCC"/>
          </w:tcPr>
          <w:p>
            <w:pPr>
              <w:ind w:left="360"/>
              <w:spacing w:after="0"/>
              <w:rPr>
                <w:sz w:val="20"/>
                <w:szCs w:val="20"/>
                <w:color w:val="auto"/>
              </w:rPr>
            </w:pPr>
            <w:r>
              <w:rPr>
                <w:rFonts w:ascii="Arial" w:cs="Arial" w:eastAsia="Arial" w:hAnsi="Arial"/>
                <w:sz w:val="14"/>
                <w:szCs w:val="14"/>
                <w:color w:val="auto"/>
              </w:rPr>
              <w:t>Accrued liabilities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8080" w:type="dxa"/>
            <w:vAlign w:val="bottom"/>
          </w:tcPr>
          <w:p>
            <w:pPr>
              <w:ind w:left="360"/>
              <w:spacing w:after="0"/>
              <w:rPr>
                <w:sz w:val="20"/>
                <w:szCs w:val="20"/>
                <w:color w:val="auto"/>
              </w:rPr>
            </w:pPr>
            <w:r>
              <w:rPr>
                <w:rFonts w:ascii="Arial" w:cs="Arial" w:eastAsia="Arial" w:hAnsi="Arial"/>
                <w:sz w:val="14"/>
                <w:szCs w:val="14"/>
                <w:color w:val="auto"/>
              </w:rPr>
              <w:t>Income taxes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8080" w:type="dxa"/>
            <w:vAlign w:val="bottom"/>
            <w:shd w:val="clear" w:color="auto" w:fill="CDFFCC"/>
          </w:tcPr>
          <w:p>
            <w:pPr>
              <w:ind w:left="360"/>
              <w:spacing w:after="0"/>
              <w:rPr>
                <w:sz w:val="20"/>
                <w:szCs w:val="20"/>
                <w:color w:val="auto"/>
              </w:rPr>
            </w:pPr>
            <w:r>
              <w:rPr>
                <w:rFonts w:ascii="Arial" w:cs="Arial" w:eastAsia="Arial" w:hAnsi="Arial"/>
                <w:sz w:val="14"/>
                <w:szCs w:val="14"/>
                <w:color w:val="auto"/>
              </w:rPr>
              <w:t>Other noncurrent liabilities</w:t>
            </w:r>
          </w:p>
        </w:tc>
        <w:tc>
          <w:tcPr>
            <w:tcW w:w="1020" w:type="dxa"/>
            <w:vAlign w:val="bottom"/>
            <w:tcBorders>
              <w:bottom w:val="single" w:sz="8" w:color="auto"/>
            </w:tcBorders>
            <w:shd w:val="clear" w:color="auto" w:fill="CDFFCC"/>
          </w:tcPr>
          <w:p>
            <w:pPr>
              <w:spacing w:after="0"/>
              <w:rPr>
                <w:sz w:val="17"/>
                <w:szCs w:val="17"/>
                <w:color w:val="auto"/>
              </w:rPr>
            </w:pPr>
          </w:p>
        </w:tc>
        <w:tc>
          <w:tcPr>
            <w:tcW w:w="4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DFFCC"/>
          </w:tcPr>
          <w:p>
            <w:pPr>
              <w:spacing w:after="0"/>
              <w:rPr>
                <w:sz w:val="17"/>
                <w:szCs w:val="17"/>
                <w:color w:val="auto"/>
              </w:rPr>
            </w:pPr>
          </w:p>
        </w:tc>
        <w:tc>
          <w:tcPr>
            <w:tcW w:w="1080" w:type="dxa"/>
            <w:vAlign w:val="bottom"/>
            <w:tcBorders>
              <w:bottom w:val="single" w:sz="8" w:color="auto"/>
            </w:tcBorders>
            <w:shd w:val="clear" w:color="auto" w:fill="CDFFCC"/>
          </w:tcPr>
          <w:p>
            <w:pPr>
              <w:spacing w:after="0"/>
              <w:rPr>
                <w:sz w:val="17"/>
                <w:szCs w:val="17"/>
                <w:color w:val="auto"/>
              </w:rPr>
            </w:pPr>
          </w:p>
        </w:tc>
        <w:tc>
          <w:tcPr>
            <w:tcW w:w="4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8080" w:type="dxa"/>
            <w:vAlign w:val="bottom"/>
            <w:tcBorders>
              <w:bottom w:val="single" w:sz="8" w:color="CDFFCC"/>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DFFC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89"/>
        </w:trPr>
        <w:tc>
          <w:tcPr>
            <w:tcW w:w="8080" w:type="dxa"/>
            <w:vAlign w:val="bottom"/>
            <w:shd w:val="clear" w:color="auto" w:fill="CDFFCC"/>
          </w:tcPr>
          <w:p>
            <w:pPr>
              <w:spacing w:after="0"/>
              <w:rPr>
                <w:sz w:val="7"/>
                <w:szCs w:val="7"/>
                <w:color w:val="auto"/>
              </w:rPr>
            </w:pPr>
          </w:p>
        </w:tc>
        <w:tc>
          <w:tcPr>
            <w:tcW w:w="1020" w:type="dxa"/>
            <w:vAlign w:val="bottom"/>
            <w:shd w:val="clear" w:color="auto" w:fill="CDFFCC"/>
          </w:tcPr>
          <w:p>
            <w:pPr>
              <w:spacing w:after="0"/>
              <w:rPr>
                <w:sz w:val="7"/>
                <w:szCs w:val="7"/>
                <w:color w:val="auto"/>
              </w:rPr>
            </w:pPr>
          </w:p>
        </w:tc>
        <w:tc>
          <w:tcPr>
            <w:tcW w:w="48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1080" w:type="dxa"/>
            <w:vAlign w:val="bottom"/>
            <w:shd w:val="clear" w:color="auto" w:fill="CDFFCC"/>
          </w:tcPr>
          <w:p>
            <w:pPr>
              <w:spacing w:after="0"/>
              <w:rPr>
                <w:sz w:val="7"/>
                <w:szCs w:val="7"/>
                <w:color w:val="auto"/>
              </w:rPr>
            </w:pPr>
          </w:p>
        </w:tc>
        <w:tc>
          <w:tcPr>
            <w:tcW w:w="420" w:type="dxa"/>
            <w:vAlign w:val="bottom"/>
            <w:shd w:val="clear" w:color="auto" w:fill="CDFFCC"/>
          </w:tcPr>
          <w:p>
            <w:pPr>
              <w:spacing w:after="0"/>
              <w:rPr>
                <w:sz w:val="7"/>
                <w:szCs w:val="7"/>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Capital expenditures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(34)</w:t>
            </w: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Cash received on derivative contracts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Cash paid on derivative contracts</w:t>
            </w:r>
          </w:p>
        </w:tc>
        <w:tc>
          <w:tcPr>
            <w:tcW w:w="1020" w:type="dxa"/>
            <w:vAlign w:val="bottom"/>
            <w:shd w:val="clear" w:color="auto" w:fill="CDFFCC"/>
          </w:tcPr>
          <w:p>
            <w:pPr>
              <w:spacing w:after="0"/>
              <w:rPr>
                <w:sz w:val="17"/>
                <w:szCs w:val="17"/>
                <w:color w:val="auto"/>
              </w:rPr>
            </w:pPr>
          </w:p>
        </w:tc>
        <w:tc>
          <w:tcPr>
            <w:tcW w:w="600" w:type="dxa"/>
            <w:vAlign w:val="bottom"/>
            <w:gridSpan w:val="2"/>
            <w:shd w:val="clear" w:color="auto" w:fill="CDFFCC"/>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8080" w:type="dxa"/>
            <w:vAlign w:val="bottom"/>
            <w:tcBorders>
              <w:bottom w:val="single" w:sz="8" w:color="CDFFCC"/>
            </w:tcBorders>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DFFC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20" w:type="dxa"/>
            <w:vAlign w:val="bottom"/>
            <w:tcBorders>
              <w:bottom w:val="single" w:sz="8" w:color="auto"/>
            </w:tcBorders>
            <w:shd w:val="clear" w:color="auto" w:fill="CDFFCC"/>
          </w:tcPr>
          <w:p>
            <w:pPr>
              <w:spacing w:after="0"/>
              <w:rPr>
                <w:sz w:val="17"/>
                <w:szCs w:val="17"/>
                <w:color w:val="auto"/>
              </w:rPr>
            </w:pPr>
          </w:p>
        </w:tc>
        <w:tc>
          <w:tcPr>
            <w:tcW w:w="4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DFFCC"/>
          </w:tcPr>
          <w:p>
            <w:pPr>
              <w:spacing w:after="0"/>
              <w:rPr>
                <w:sz w:val="17"/>
                <w:szCs w:val="17"/>
                <w:color w:val="auto"/>
              </w:rPr>
            </w:pPr>
          </w:p>
        </w:tc>
        <w:tc>
          <w:tcPr>
            <w:tcW w:w="1080" w:type="dxa"/>
            <w:vAlign w:val="bottom"/>
            <w:tcBorders>
              <w:bottom w:val="single" w:sz="8" w:color="auto"/>
            </w:tcBorders>
            <w:shd w:val="clear" w:color="auto" w:fill="CDFFCC"/>
          </w:tcPr>
          <w:p>
            <w:pPr>
              <w:spacing w:after="0"/>
              <w:rPr>
                <w:sz w:val="17"/>
                <w:szCs w:val="17"/>
                <w:color w:val="auto"/>
              </w:rPr>
            </w:pPr>
          </w:p>
        </w:tc>
        <w:tc>
          <w:tcPr>
            <w:tcW w:w="4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(43)</w:t>
            </w:r>
          </w:p>
        </w:tc>
      </w:tr>
      <w:tr>
        <w:trPr>
          <w:trHeight w:val="89"/>
        </w:trPr>
        <w:tc>
          <w:tcPr>
            <w:tcW w:w="8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03"/>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spacing w:after="0"/>
              <w:rPr>
                <w:sz w:val="17"/>
                <w:szCs w:val="17"/>
                <w:color w:val="auto"/>
              </w:rPr>
            </w:pPr>
          </w:p>
        </w:tc>
      </w:tr>
      <w:tr>
        <w:trPr>
          <w:trHeight w:val="199"/>
        </w:trPr>
        <w:tc>
          <w:tcPr>
            <w:tcW w:w="8080" w:type="dxa"/>
            <w:vAlign w:val="bottom"/>
          </w:tcPr>
          <w:p>
            <w:pPr>
              <w:ind w:left="20"/>
              <w:spacing w:after="0"/>
              <w:rPr>
                <w:sz w:val="20"/>
                <w:szCs w:val="20"/>
                <w:color w:val="auto"/>
              </w:rPr>
            </w:pPr>
            <w:r>
              <w:rPr>
                <w:rFonts w:ascii="Arial" w:cs="Arial" w:eastAsia="Arial" w:hAnsi="Arial"/>
                <w:sz w:val="14"/>
                <w:szCs w:val="14"/>
                <w:color w:val="auto"/>
              </w:rPr>
              <w:t>(Repayments) proceeds on short-term borrowings, net</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6"/>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Proceeds from 364-day bridge loan</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080" w:type="dxa"/>
            <w:vAlign w:val="bottom"/>
          </w:tcPr>
          <w:p>
            <w:pPr>
              <w:ind w:left="20"/>
              <w:spacing w:after="0"/>
              <w:rPr>
                <w:sz w:val="20"/>
                <w:szCs w:val="20"/>
                <w:color w:val="auto"/>
              </w:rPr>
            </w:pPr>
            <w:r>
              <w:rPr>
                <w:rFonts w:ascii="Arial" w:cs="Arial" w:eastAsia="Arial" w:hAnsi="Arial"/>
                <w:sz w:val="14"/>
                <w:szCs w:val="14"/>
                <w:color w:val="auto"/>
              </w:rPr>
              <w:t>Cash dividends paid</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6"/>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Repayments on long-term borrowings</w:t>
            </w:r>
          </w:p>
        </w:tc>
        <w:tc>
          <w:tcPr>
            <w:tcW w:w="1020" w:type="dxa"/>
            <w:vAlign w:val="bottom"/>
            <w:shd w:val="clear" w:color="auto" w:fill="CDFFCC"/>
          </w:tcPr>
          <w:p>
            <w:pPr>
              <w:spacing w:after="0"/>
              <w:rPr>
                <w:sz w:val="17"/>
                <w:szCs w:val="17"/>
                <w:color w:val="auto"/>
              </w:rPr>
            </w:pP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spacing w:after="0"/>
              <w:rPr>
                <w:sz w:val="17"/>
                <w:szCs w:val="17"/>
                <w:color w:val="auto"/>
              </w:rPr>
            </w:pP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080" w:type="dxa"/>
            <w:vAlign w:val="bottom"/>
          </w:tcPr>
          <w:p>
            <w:pPr>
              <w:ind w:left="20"/>
              <w:spacing w:after="0"/>
              <w:rPr>
                <w:sz w:val="20"/>
                <w:szCs w:val="20"/>
                <w:color w:val="auto"/>
              </w:rPr>
            </w:pPr>
            <w:r>
              <w:rPr>
                <w:rFonts w:ascii="Arial" w:cs="Arial" w:eastAsia="Arial" w:hAnsi="Arial"/>
                <w:sz w:val="14"/>
                <w:szCs w:val="14"/>
                <w:color w:val="auto"/>
              </w:rPr>
              <w:t>Cash paid for deferred financing costs</w:t>
            </w: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Other financing activities, net</w:t>
            </w:r>
          </w:p>
        </w:tc>
        <w:tc>
          <w:tcPr>
            <w:tcW w:w="1020" w:type="dxa"/>
            <w:vAlign w:val="bottom"/>
            <w:tcBorders>
              <w:bottom w:val="single" w:sz="8" w:color="auto"/>
            </w:tcBorders>
            <w:shd w:val="clear" w:color="auto" w:fill="CDFFCC"/>
          </w:tcPr>
          <w:p>
            <w:pPr>
              <w:spacing w:after="0"/>
              <w:rPr>
                <w:sz w:val="17"/>
                <w:szCs w:val="17"/>
                <w:color w:val="auto"/>
              </w:rPr>
            </w:pPr>
          </w:p>
        </w:tc>
        <w:tc>
          <w:tcPr>
            <w:tcW w:w="4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DFFCC"/>
          </w:tcPr>
          <w:p>
            <w:pPr>
              <w:spacing w:after="0"/>
              <w:rPr>
                <w:sz w:val="17"/>
                <w:szCs w:val="17"/>
                <w:color w:val="auto"/>
              </w:rPr>
            </w:pPr>
          </w:p>
        </w:tc>
        <w:tc>
          <w:tcPr>
            <w:tcW w:w="1080" w:type="dxa"/>
            <w:vAlign w:val="bottom"/>
            <w:tcBorders>
              <w:bottom w:val="single" w:sz="8" w:color="auto"/>
            </w:tcBorders>
            <w:shd w:val="clear" w:color="auto" w:fill="CDFFCC"/>
          </w:tcPr>
          <w:p>
            <w:pPr>
              <w:spacing w:after="0"/>
              <w:rPr>
                <w:sz w:val="17"/>
                <w:szCs w:val="17"/>
                <w:color w:val="auto"/>
              </w:rPr>
            </w:pPr>
          </w:p>
        </w:tc>
        <w:tc>
          <w:tcPr>
            <w:tcW w:w="4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(5)</w:t>
            </w:r>
          </w:p>
        </w:tc>
      </w:tr>
      <w:tr>
        <w:trPr>
          <w:trHeight w:val="195"/>
        </w:trPr>
        <w:tc>
          <w:tcPr>
            <w:tcW w:w="8080" w:type="dxa"/>
            <w:vAlign w:val="bottom"/>
            <w:tcBorders>
              <w:bottom w:val="single" w:sz="8" w:color="CDFFCC"/>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DFFC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7"/>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20" w:type="dxa"/>
            <w:vAlign w:val="bottom"/>
            <w:tcBorders>
              <w:bottom w:val="single" w:sz="8" w:color="auto"/>
            </w:tcBorders>
            <w:shd w:val="clear" w:color="auto" w:fill="CDFFCC"/>
          </w:tcPr>
          <w:p>
            <w:pPr>
              <w:spacing w:after="0"/>
              <w:rPr>
                <w:sz w:val="17"/>
                <w:szCs w:val="17"/>
                <w:color w:val="auto"/>
              </w:rPr>
            </w:pPr>
          </w:p>
        </w:tc>
        <w:tc>
          <w:tcPr>
            <w:tcW w:w="4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DFFCC"/>
          </w:tcPr>
          <w:p>
            <w:pPr>
              <w:spacing w:after="0"/>
              <w:rPr>
                <w:sz w:val="17"/>
                <w:szCs w:val="17"/>
                <w:color w:val="auto"/>
              </w:rPr>
            </w:pPr>
          </w:p>
        </w:tc>
        <w:tc>
          <w:tcPr>
            <w:tcW w:w="1080" w:type="dxa"/>
            <w:vAlign w:val="bottom"/>
            <w:tcBorders>
              <w:bottom w:val="single" w:sz="8" w:color="auto"/>
            </w:tcBorders>
            <w:shd w:val="clear" w:color="auto" w:fill="CDFFCC"/>
          </w:tcPr>
          <w:p>
            <w:pPr>
              <w:spacing w:after="0"/>
              <w:rPr>
                <w:sz w:val="17"/>
                <w:szCs w:val="17"/>
                <w:color w:val="auto"/>
              </w:rPr>
            </w:pPr>
          </w:p>
        </w:tc>
        <w:tc>
          <w:tcPr>
            <w:tcW w:w="4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80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8080" w:type="dxa"/>
            <w:vAlign w:val="bottom"/>
            <w:shd w:val="clear" w:color="auto" w:fill="CDFFCC"/>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20" w:type="dxa"/>
            <w:vAlign w:val="bottom"/>
            <w:tcBorders>
              <w:bottom w:val="single" w:sz="8" w:color="auto"/>
            </w:tcBorders>
            <w:shd w:val="clear" w:color="auto" w:fill="CDFFCC"/>
          </w:tcPr>
          <w:p>
            <w:pPr>
              <w:spacing w:after="0"/>
              <w:rPr>
                <w:sz w:val="17"/>
                <w:szCs w:val="17"/>
                <w:color w:val="auto"/>
              </w:rPr>
            </w:pPr>
          </w:p>
        </w:tc>
        <w:tc>
          <w:tcPr>
            <w:tcW w:w="4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DFFCC"/>
          </w:tcPr>
          <w:p>
            <w:pPr>
              <w:spacing w:after="0"/>
              <w:rPr>
                <w:sz w:val="17"/>
                <w:szCs w:val="17"/>
                <w:color w:val="auto"/>
              </w:rPr>
            </w:pPr>
          </w:p>
        </w:tc>
        <w:tc>
          <w:tcPr>
            <w:tcW w:w="1080" w:type="dxa"/>
            <w:vAlign w:val="bottom"/>
            <w:tcBorders>
              <w:bottom w:val="single" w:sz="8" w:color="auto"/>
            </w:tcBorders>
            <w:shd w:val="clear" w:color="auto" w:fill="CDFFCC"/>
          </w:tcPr>
          <w:p>
            <w:pPr>
              <w:spacing w:after="0"/>
              <w:rPr>
                <w:sz w:val="17"/>
                <w:szCs w:val="17"/>
                <w:color w:val="auto"/>
              </w:rPr>
            </w:pPr>
          </w:p>
        </w:tc>
        <w:tc>
          <w:tcPr>
            <w:tcW w:w="42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334</w:t>
            </w:r>
          </w:p>
        </w:tc>
      </w:tr>
      <w:tr>
        <w:trPr>
          <w:trHeight w:val="200"/>
        </w:trPr>
        <w:tc>
          <w:tcPr>
            <w:tcW w:w="80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r>
      <w:tr>
        <w:trPr>
          <w:trHeight w:val="20"/>
        </w:trPr>
        <w:tc>
          <w:tcPr>
            <w:tcW w:w="8080" w:type="dxa"/>
            <w:vAlign w:val="bottom"/>
            <w:tcBorders>
              <w:bottom w:val="single" w:sz="8" w:color="CDFFC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DFFC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61"/>
        </w:trPr>
        <w:tc>
          <w:tcPr>
            <w:tcW w:w="8080" w:type="dxa"/>
            <w:vAlign w:val="bottom"/>
            <w:shd w:val="clear" w:color="auto" w:fill="CDFFCC"/>
          </w:tcPr>
          <w:p>
            <w:pPr>
              <w:spacing w:after="0"/>
              <w:rPr>
                <w:sz w:val="5"/>
                <w:szCs w:val="5"/>
                <w:color w:val="auto"/>
              </w:rPr>
            </w:pPr>
          </w:p>
        </w:tc>
        <w:tc>
          <w:tcPr>
            <w:tcW w:w="1020" w:type="dxa"/>
            <w:vAlign w:val="bottom"/>
            <w:shd w:val="clear" w:color="auto" w:fill="CDFFCC"/>
          </w:tcPr>
          <w:p>
            <w:pPr>
              <w:spacing w:after="0"/>
              <w:rPr>
                <w:sz w:val="5"/>
                <w:szCs w:val="5"/>
                <w:color w:val="auto"/>
              </w:rPr>
            </w:pPr>
          </w:p>
        </w:tc>
        <w:tc>
          <w:tcPr>
            <w:tcW w:w="480" w:type="dxa"/>
            <w:vAlign w:val="bottom"/>
            <w:shd w:val="clear" w:color="auto" w:fill="CDFFCC"/>
          </w:tcPr>
          <w:p>
            <w:pPr>
              <w:spacing w:after="0"/>
              <w:rPr>
                <w:sz w:val="5"/>
                <w:szCs w:val="5"/>
                <w:color w:val="auto"/>
              </w:rPr>
            </w:pPr>
          </w:p>
        </w:tc>
        <w:tc>
          <w:tcPr>
            <w:tcW w:w="120" w:type="dxa"/>
            <w:vAlign w:val="bottom"/>
            <w:shd w:val="clear" w:color="auto" w:fill="CDFFCC"/>
          </w:tcPr>
          <w:p>
            <w:pPr>
              <w:spacing w:after="0"/>
              <w:rPr>
                <w:sz w:val="5"/>
                <w:szCs w:val="5"/>
                <w:color w:val="auto"/>
              </w:rPr>
            </w:pPr>
          </w:p>
        </w:tc>
        <w:tc>
          <w:tcPr>
            <w:tcW w:w="1080" w:type="dxa"/>
            <w:vAlign w:val="bottom"/>
            <w:shd w:val="clear" w:color="auto" w:fill="CDFFCC"/>
          </w:tcPr>
          <w:p>
            <w:pPr>
              <w:spacing w:after="0"/>
              <w:rPr>
                <w:sz w:val="5"/>
                <w:szCs w:val="5"/>
                <w:color w:val="auto"/>
              </w:rPr>
            </w:pPr>
          </w:p>
        </w:tc>
        <w:tc>
          <w:tcPr>
            <w:tcW w:w="420" w:type="dxa"/>
            <w:vAlign w:val="bottom"/>
            <w:shd w:val="clear" w:color="auto" w:fill="CDFFCC"/>
          </w:tcPr>
          <w:p>
            <w:pPr>
              <w:spacing w:after="0"/>
              <w:rPr>
                <w:sz w:val="5"/>
                <w:szCs w:val="5"/>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7"/>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Interest paid, net of amounts capitalized</w:t>
            </w:r>
          </w:p>
        </w:tc>
        <w:tc>
          <w:tcPr>
            <w:tcW w:w="1020" w:type="dxa"/>
            <w:vAlign w:val="bottom"/>
            <w:shd w:val="clear" w:color="auto" w:fill="CDFFCC"/>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Non-cash investing activities:</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7"/>
        </w:trPr>
        <w:tc>
          <w:tcPr>
            <w:tcW w:w="8080" w:type="dxa"/>
            <w:vAlign w:val="bottom"/>
            <w:shd w:val="clear" w:color="auto" w:fill="CDFFCC"/>
          </w:tcPr>
          <w:p>
            <w:pPr>
              <w:ind w:left="140"/>
              <w:spacing w:after="0"/>
              <w:rPr>
                <w:sz w:val="20"/>
                <w:szCs w:val="20"/>
                <w:color w:val="auto"/>
              </w:rPr>
            </w:pPr>
            <w:r>
              <w:rPr>
                <w:rFonts w:ascii="Arial" w:cs="Arial" w:eastAsia="Arial" w:hAnsi="Arial"/>
                <w:sz w:val="14"/>
                <w:szCs w:val="14"/>
                <w:color w:val="auto"/>
              </w:rPr>
              <w:t>Property, plant and equipment in accounts payable at end of period</w:t>
            </w:r>
          </w:p>
        </w:tc>
        <w:tc>
          <w:tcPr>
            <w:tcW w:w="1020" w:type="dxa"/>
            <w:vAlign w:val="bottom"/>
            <w:shd w:val="clear" w:color="auto" w:fill="CDFFCC"/>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DFFCC"/>
          </w:tcPr>
          <w:p>
            <w:pPr>
              <w:spacing w:after="0"/>
              <w:rPr>
                <w:sz w:val="17"/>
                <w:szCs w:val="17"/>
                <w:color w:val="auto"/>
              </w:rPr>
            </w:pPr>
          </w:p>
        </w:tc>
        <w:tc>
          <w:tcPr>
            <w:tcW w:w="1080" w:type="dxa"/>
            <w:vAlign w:val="bottom"/>
            <w:shd w:val="clear" w:color="auto" w:fill="CDFFCC"/>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24</w:t>
            </w:r>
          </w:p>
        </w:tc>
      </w:tr>
      <w:tr>
        <w:trPr>
          <w:trHeight w:val="194"/>
        </w:trPr>
        <w:tc>
          <w:tcPr>
            <w:tcW w:w="8080" w:type="dxa"/>
            <w:vAlign w:val="bottom"/>
          </w:tcPr>
          <w:p>
            <w:pPr>
              <w:ind w:left="140"/>
              <w:spacing w:after="0"/>
              <w:rPr>
                <w:sz w:val="20"/>
                <w:szCs w:val="20"/>
                <w:color w:val="auto"/>
              </w:rPr>
            </w:pPr>
            <w:r>
              <w:rPr>
                <w:rFonts w:ascii="Arial" w:cs="Arial" w:eastAsia="Arial" w:hAnsi="Arial"/>
                <w:sz w:val="14"/>
                <w:szCs w:val="14"/>
                <w:color w:val="auto"/>
              </w:rPr>
              <w:t>Exchange of inventory for naming and other rights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1">
            <w:col w:w="11200"/>
          </w:cols>
          <w:pgMar w:left="320" w:top="769"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58"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addition to results determined in accordance with U.S. generally accepted accounting principles ("US GAAP"), the Company provides certain measures in this press release, described below, which are not calculated in accordance with US GAAP and therefore represent Non-GAAP measures. These Non-GAAP measures are used by the Company to measure its performance and may differ from those used by other companies. These Non-GAAP measures should not be considered in isolation from, or as a substitute for, measures of financial performance prepared in accordance with US GAAP.</w:t>
      </w:r>
    </w:p>
    <w:p>
      <w:pPr>
        <w:spacing w:after="0" w:line="21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Management believes that these Non-GAAP measures are helpful as they provide a measure of the results of operations, and are frequently used by investors and analysts to evaluate the Company’s performance exclusive of certain items that impact the comparability of results from period to period, and which may not be indicative of past or future performance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Organic Sales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Company defines "organic sales" as the reported net sales adjusted for: (1) net sales from acquired businesses recorded prior to the first anniversary of the acquisition; (2) net sales attributable to disposed businesses in both the current and prior year periods; and (3) the impact of foreign currency changes, which is calculated by translating current period net sales using the comparable prior period's foreign currency exchange rates.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Operating Income and Margin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Adjusted operating income is computed by excluding the following items from operating income (loss) as reported in accordance with US GAAP:</w:t>
      </w:r>
    </w:p>
    <w:p>
      <w:pPr>
        <w:spacing w:after="0" w:line="167" w:lineRule="exact"/>
        <w:rPr>
          <w:sz w:val="20"/>
          <w:szCs w:val="20"/>
          <w:color w:val="auto"/>
        </w:rPr>
      </w:pPr>
    </w:p>
    <w:p>
      <w:pPr>
        <w:ind w:left="660" w:right="20" w:hanging="4"/>
        <w:spacing w:after="0" w:line="254" w:lineRule="auto"/>
        <w:tabs>
          <w:tab w:leader="none" w:pos="957" w:val="left"/>
        </w:tabs>
        <w:numPr>
          <w:ilvl w:val="0"/>
          <w:numId w:val="4"/>
        </w:numPr>
        <w:rPr>
          <w:rFonts w:ascii="Arial" w:cs="Arial" w:eastAsia="Arial" w:hAnsi="Arial"/>
          <w:sz w:val="20"/>
          <w:szCs w:val="20"/>
          <w:color w:val="auto"/>
        </w:rPr>
      </w:pPr>
      <w:r>
        <w:rPr>
          <w:rFonts w:ascii="Arial" w:cs="Arial" w:eastAsia="Arial" w:hAnsi="Arial"/>
          <w:sz w:val="20"/>
          <w:szCs w:val="20"/>
          <w:color w:val="auto"/>
        </w:rPr>
        <w:t>Business combination-related costs and fair value adjustments. These adjustments include costs related to consummating and integrating acquired businesses, as well as net gains and losses related to disposed businesses. In addition, this category includes the post-acquisition roll-off of fair value adjustments recorded related to business combinations, except for amortization expense of purchased intangible assets noted below. Although the Company is regularly engaged in activities to find and act on opportunities for strategic growth and enhancement of product offerings, the costs associated with these activities may vary significantly between periods based on the timing, size and complexity of acquisitions and as such may not be indicative of past and future performance of the Company.</w:t>
      </w:r>
    </w:p>
    <w:p>
      <w:pPr>
        <w:spacing w:after="0" w:line="199" w:lineRule="exact"/>
        <w:rPr>
          <w:rFonts w:ascii="Arial" w:cs="Arial" w:eastAsia="Arial" w:hAnsi="Arial"/>
          <w:sz w:val="20"/>
          <w:szCs w:val="20"/>
          <w:color w:val="auto"/>
        </w:rPr>
      </w:pPr>
    </w:p>
    <w:p>
      <w:pPr>
        <w:ind w:left="660" w:hanging="4"/>
        <w:spacing w:after="0" w:line="251" w:lineRule="auto"/>
        <w:tabs>
          <w:tab w:leader="none" w:pos="95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Restructuring-related charges and other costs. These adjustments include costs related to the implementation of restructuring initiatives, including but not limited to, severance costs, facility closure costs, and lease and contract termination costs, as well as related professional service costs associated with these restructuring initiatives and global transformation activity. The Company is continually seeking to take actions that could enhance its efficiency; consequently, restructuring charges may recur but are subject to significant fluctuations from period to period due to the varying levels of restructuring activity, and as such may not be indicative of past and future performance of the Company. Other costs include gains and losses on the sale of property, legal settlements, executive separation costs, write-offs of inventory as a result of product rationalization, and changes in accounting principles recorded within the period. This category also includes costs related to investigations and associated legal cases and remediation activities, which primarily include legal, accounting and other professional service fees, as well as turnover and other employee-related costs.</w:t>
      </w:r>
    </w:p>
    <w:p>
      <w:pPr>
        <w:spacing w:after="0" w:line="216" w:lineRule="exact"/>
        <w:rPr>
          <w:rFonts w:ascii="Arial" w:cs="Arial" w:eastAsia="Arial" w:hAnsi="Arial"/>
          <w:sz w:val="20"/>
          <w:szCs w:val="20"/>
          <w:color w:val="auto"/>
        </w:rPr>
      </w:pPr>
    </w:p>
    <w:p>
      <w:pPr>
        <w:ind w:left="660" w:right="400" w:hanging="4"/>
        <w:spacing w:after="0" w:line="271" w:lineRule="auto"/>
        <w:tabs>
          <w:tab w:leader="none" w:pos="957" w:val="left"/>
        </w:tabs>
        <w:numPr>
          <w:ilvl w:val="0"/>
          <w:numId w:val="4"/>
        </w:numPr>
        <w:rPr>
          <w:rFonts w:ascii="Arial" w:cs="Arial" w:eastAsia="Arial" w:hAnsi="Arial"/>
          <w:sz w:val="20"/>
          <w:szCs w:val="20"/>
          <w:color w:val="auto"/>
        </w:rPr>
      </w:pPr>
      <w:r>
        <w:rPr>
          <w:rFonts w:ascii="Arial" w:cs="Arial" w:eastAsia="Arial" w:hAnsi="Arial"/>
          <w:sz w:val="20"/>
          <w:szCs w:val="20"/>
          <w:color w:val="auto"/>
        </w:rPr>
        <w:t>Goodwill and intangible asset impairments. These adjustments include charges related to goodwill and intangible asset impairments.</w:t>
      </w:r>
    </w:p>
    <w:p>
      <w:pPr>
        <w:sectPr>
          <w:pgSz w:w="11900" w:h="16838" w:orient="portrait"/>
          <w:cols w:equalWidth="0" w:num="1">
            <w:col w:w="11220"/>
          </w:cols>
          <w:pgMar w:left="320" w:top="926" w:right="359" w:bottom="1440" w:gutter="0" w:footer="0" w:header="0"/>
        </w:sectPr>
      </w:pPr>
    </w:p>
    <w:bookmarkStart w:id="11" w:name="page12"/>
    <w:bookmarkEnd w:id="11"/>
    <w:p>
      <w:pPr>
        <w:ind w:left="660" w:hanging="4"/>
        <w:spacing w:after="0" w:line="259" w:lineRule="auto"/>
        <w:tabs>
          <w:tab w:leader="none" w:pos="957" w:val="left"/>
        </w:tabs>
        <w:numPr>
          <w:ilvl w:val="0"/>
          <w:numId w:val="5"/>
        </w:numPr>
        <w:rPr>
          <w:rFonts w:ascii="Arial" w:cs="Arial" w:eastAsia="Arial" w:hAnsi="Arial"/>
          <w:sz w:val="20"/>
          <w:szCs w:val="20"/>
          <w:color w:val="auto"/>
        </w:rPr>
      </w:pPr>
      <w:r>
        <w:rPr>
          <w:rFonts w:ascii="Arial" w:cs="Arial" w:eastAsia="Arial" w:hAnsi="Arial"/>
          <w:sz w:val="20"/>
          <w:szCs w:val="20"/>
          <w:color w:val="auto"/>
        </w:rPr>
        <w:t>Amortization of purchased intangible assets. This adjustment excludes the periodic amortization expense related to purchased intangible assets, which are recorded at fair value. Although these costs contribute to revenue generation and will recur in future periods, their amounts are significantly impacted by the timing and size of acquisitions, and as such may not be indicative of the future performance of the Company.</w:t>
      </w:r>
    </w:p>
    <w:p>
      <w:pPr>
        <w:spacing w:after="0" w:line="195" w:lineRule="exact"/>
        <w:rPr>
          <w:rFonts w:ascii="Arial" w:cs="Arial" w:eastAsia="Arial" w:hAnsi="Arial"/>
          <w:sz w:val="20"/>
          <w:szCs w:val="20"/>
          <w:color w:val="auto"/>
        </w:rPr>
      </w:pPr>
    </w:p>
    <w:p>
      <w:pPr>
        <w:ind w:left="660" w:right="60" w:hanging="4"/>
        <w:spacing w:after="0" w:line="254" w:lineRule="auto"/>
        <w:tabs>
          <w:tab w:leader="none" w:pos="957" w:val="left"/>
        </w:tabs>
        <w:numPr>
          <w:ilvl w:val="0"/>
          <w:numId w:val="5"/>
        </w:numPr>
        <w:rPr>
          <w:rFonts w:ascii="Arial" w:cs="Arial" w:eastAsia="Arial" w:hAnsi="Arial"/>
          <w:sz w:val="20"/>
          <w:szCs w:val="20"/>
          <w:color w:val="auto"/>
        </w:rPr>
      </w:pPr>
      <w:r>
        <w:rPr>
          <w:rFonts w:ascii="Arial" w:cs="Arial" w:eastAsia="Arial" w:hAnsi="Arial"/>
          <w:sz w:val="20"/>
          <w:szCs w:val="20"/>
          <w:color w:val="auto"/>
        </w:rPr>
        <w:t>Fair value and credit risk adjustments. These adjustments include the non-cash mark-to-market changes in fair value associated with pension assets and obligations, the credit risk component of hedging instruments, and equity-method investments. Although these adjustments are recurring in nature, they are subject to significant fluctuations from period to period due to changes in the underlying assumptions and market conditions. The non-service component of pension expense is a recurring item, however it is subject to significant fluctuations from period to period due to changes in actuarial assumptions, interest rates, plan changes, settlements, curtailments, and other changes in facts and circumstances. As such, these items may not be indicative of past and future performance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Adjusted operating margin is calculated by dividing adjusted operating income by net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Gross Profit and Margin</w:t>
      </w:r>
    </w:p>
    <w:p>
      <w:pPr>
        <w:spacing w:after="0" w:line="243"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Adjusted gross profit is computed by excluding from gross profit the impact of any of the above adjustments that affect either sales or cost of sales.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Adjusted gross margin is calculated by dividing adjusted gross profit by net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Net Income (Loss)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Adjusted net income (loss) consists of net income (loss) as reported in accordance with US GAAP, adjusted to exclude the items identified above, as well as the related income tax impacts of those items. The income tax effect of each pre-tax adjustment was determined based on the tax rate of the jurisdiction in which the related pre-tax adjustment was recorded.</w:t>
      </w:r>
    </w:p>
    <w:p>
      <w:pPr>
        <w:spacing w:after="0" w:line="205"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Additionally, net income is adjusted for other tax-related adjustments such as discrete or significant adjustments to valuation allowances and other uncertain tax positions, final settlement of income tax audits, discrete tax items resulting from the implementation of restructuring initiatives, the windfall or shortfall relating to exercise of employee stock-based compensation, any difference between the interim and annual effective tax rate, and adjustments relating to prior periods.</w:t>
      </w:r>
    </w:p>
    <w:p>
      <w:pPr>
        <w:spacing w:after="0" w:line="211"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color w:val="auto"/>
        </w:rPr>
        <w:t>Management believes that these adjustments for certain tax-related matters are helpful to normalize the tax effects of certain discrete or significant items that are irregular or infrequent in timing and may not be indicative of past or future performance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EBITDA and Margin</w:t>
      </w:r>
    </w:p>
    <w:p>
      <w:pPr>
        <w:spacing w:after="0" w:line="243" w:lineRule="exact"/>
        <w:rPr>
          <w:sz w:val="20"/>
          <w:szCs w:val="20"/>
          <w:color w:val="auto"/>
        </w:rPr>
      </w:pPr>
    </w:p>
    <w:p>
      <w:pPr>
        <w:ind w:right="520"/>
        <w:spacing w:after="0" w:line="286" w:lineRule="auto"/>
        <w:rPr>
          <w:sz w:val="20"/>
          <w:szCs w:val="20"/>
          <w:color w:val="auto"/>
        </w:rPr>
      </w:pPr>
      <w:r>
        <w:rPr>
          <w:rFonts w:ascii="Arial" w:cs="Arial" w:eastAsia="Arial" w:hAnsi="Arial"/>
          <w:sz w:val="20"/>
          <w:szCs w:val="20"/>
          <w:color w:val="auto"/>
        </w:rPr>
        <w:t>In addition to the adjustments described above in arriving at adjusted net income, adjusted EBITDA is computed by further excluding any remaining interest expense, net, income tax expense, depreciation and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calculated by dividing adjusted EBITDA by net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Earnings (Loss) Per Diluted Share</w:t>
      </w:r>
    </w:p>
    <w:p>
      <w:pPr>
        <w:sectPr>
          <w:pgSz w:w="11900" w:h="16838" w:orient="portrait"/>
          <w:cols w:equalWidth="0" w:num="1">
            <w:col w:w="11220"/>
          </w:cols>
          <w:pgMar w:left="320" w:top="1171" w:right="359" w:bottom="1440" w:gutter="0" w:footer="0" w:header="0"/>
        </w:sectPr>
      </w:pPr>
    </w:p>
    <w:bookmarkStart w:id="12" w:name="page13"/>
    <w:bookmarkEnd w:id="12"/>
    <w:p>
      <w:pPr>
        <w:ind w:right="680"/>
        <w:spacing w:after="0" w:line="286" w:lineRule="auto"/>
        <w:rPr>
          <w:sz w:val="20"/>
          <w:szCs w:val="20"/>
          <w:color w:val="auto"/>
        </w:rPr>
      </w:pPr>
      <w:r>
        <w:rPr>
          <w:rFonts w:ascii="Arial" w:cs="Arial" w:eastAsia="Arial" w:hAnsi="Arial"/>
          <w:sz w:val="20"/>
          <w:szCs w:val="20"/>
          <w:color w:val="auto"/>
        </w:rPr>
        <w:t>Adjusted earnings (loss) per diluted share (adjusted EPS) is computed by dividing adjusted earnings (loss) attributable to Dentsply Sirona stockholders by the diluted weighted average number of common shares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Free Cash Flow and Conversion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defines adjusted free cash flow as net cash provided by operating activities minus capital expenditures during the same period, and adjusted free cash flow conversion is defined as adjusted free cash flow divided by adjusted net income (loss). Management believes this Non-GAAP measure is important for use in evaluating the Company’s financial performance as it measures our ability to efficiently generate cash from our business operations relative to earnings. It should be considered in addition to, rather than as a substitute for, net income (loss) as a measure of our performance or net cash provided by operating activities as a measure of our liquidity.</w:t>
      </w:r>
    </w:p>
    <w:p>
      <w:pPr>
        <w:sectPr>
          <w:pgSz w:w="11900" w:h="16838" w:orient="portrait"/>
          <w:cols w:equalWidth="0" w:num="1">
            <w:col w:w="11240"/>
          </w:cols>
          <w:pgMar w:left="320" w:top="92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reported net sales to organic sales by geographic region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8"/>
              </w:rPr>
              <w:t>Three Months Ended March 31, 2025</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06"/>
              <w:spacing w:after="0"/>
              <w:rPr>
                <w:sz w:val="20"/>
                <w:szCs w:val="20"/>
                <w:color w:val="auto"/>
              </w:rPr>
            </w:pPr>
            <w:r>
              <w:rPr>
                <w:rFonts w:ascii="Arial" w:cs="Arial" w:eastAsia="Arial" w:hAnsi="Arial"/>
                <w:sz w:val="11"/>
                <w:szCs w:val="11"/>
                <w:b w:val="1"/>
                <w:bCs w:val="1"/>
                <w:color w:val="auto"/>
              </w:rPr>
              <w:t>Q1 2025 Change</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Three Months Ended March 31, 2024</w:t>
            </w:r>
          </w:p>
        </w:tc>
        <w:tc>
          <w:tcPr>
            <w:tcW w:w="520" w:type="dxa"/>
            <w:vAlign w:val="bottom"/>
            <w:tcBorders>
              <w:bottom w:val="single" w:sz="8" w:color="auto"/>
            </w:tcBorders>
          </w:tcPr>
          <w:p>
            <w:pPr>
              <w:spacing w:after="0"/>
              <w:rPr>
                <w:sz w:val="13"/>
                <w:szCs w:val="13"/>
                <w:color w:val="auto"/>
              </w:rPr>
            </w:pPr>
          </w:p>
        </w:tc>
      </w:tr>
      <w:tr>
        <w:trPr>
          <w:trHeight w:val="156"/>
        </w:trPr>
        <w:tc>
          <w:tcPr>
            <w:tcW w:w="2200" w:type="dxa"/>
            <w:vAlign w:val="bottom"/>
            <w:gridSpan w:val="2"/>
          </w:tcPr>
          <w:p>
            <w:pPr>
              <w:ind w:left="20"/>
              <w:spacing w:after="0"/>
              <w:rPr>
                <w:sz w:val="20"/>
                <w:szCs w:val="20"/>
                <w:color w:val="auto"/>
              </w:rPr>
            </w:pPr>
            <w:r>
              <w:rPr>
                <w:rFonts w:ascii="Arial" w:cs="Arial" w:eastAsia="Arial" w:hAnsi="Arial"/>
                <w:sz w:val="11"/>
                <w:szCs w:val="11"/>
                <w:color w:val="auto"/>
              </w:rPr>
              <w:t>(in millions, except percentages)</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U.S.</w:t>
            </w:r>
          </w:p>
        </w:tc>
        <w:tc>
          <w:tcPr>
            <w:tcW w:w="36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Europe</w:t>
            </w:r>
          </w:p>
        </w:tc>
        <w:tc>
          <w:tcPr>
            <w:tcW w:w="18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ROW</w:t>
            </w:r>
          </w:p>
        </w:tc>
        <w:tc>
          <w:tcPr>
            <w:tcW w:w="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840" w:type="dxa"/>
            <w:vAlign w:val="bottom"/>
          </w:tcPr>
          <w:p>
            <w:pPr>
              <w:jc w:val="right"/>
              <w:ind w:right="306"/>
              <w:spacing w:after="0"/>
              <w:rPr>
                <w:sz w:val="20"/>
                <w:szCs w:val="20"/>
                <w:color w:val="auto"/>
              </w:rPr>
            </w:pPr>
            <w:r>
              <w:rPr>
                <w:rFonts w:ascii="Arial" w:cs="Arial" w:eastAsia="Arial" w:hAnsi="Arial"/>
                <w:sz w:val="11"/>
                <w:szCs w:val="11"/>
                <w:b w:val="1"/>
                <w:bCs w:val="1"/>
                <w:color w:val="auto"/>
              </w:rPr>
              <w:t>U.S.</w:t>
            </w:r>
          </w:p>
        </w:tc>
        <w:tc>
          <w:tcPr>
            <w:tcW w:w="800" w:type="dxa"/>
            <w:vAlign w:val="bottom"/>
          </w:tcPr>
          <w:p>
            <w:pPr>
              <w:jc w:val="right"/>
              <w:ind w:right="266"/>
              <w:spacing w:after="0"/>
              <w:rPr>
                <w:sz w:val="20"/>
                <w:szCs w:val="20"/>
                <w:color w:val="auto"/>
              </w:rPr>
            </w:pPr>
            <w:r>
              <w:rPr>
                <w:rFonts w:ascii="Arial" w:cs="Arial" w:eastAsia="Arial" w:hAnsi="Arial"/>
                <w:sz w:val="11"/>
                <w:szCs w:val="11"/>
                <w:b w:val="1"/>
                <w:bCs w:val="1"/>
                <w:color w:val="auto"/>
              </w:rPr>
              <w:t>Europe</w:t>
            </w:r>
          </w:p>
        </w:tc>
        <w:tc>
          <w:tcPr>
            <w:tcW w:w="760" w:type="dxa"/>
            <w:vAlign w:val="bottom"/>
          </w:tcPr>
          <w:p>
            <w:pPr>
              <w:jc w:val="right"/>
              <w:ind w:right="306"/>
              <w:spacing w:after="0"/>
              <w:rPr>
                <w:sz w:val="20"/>
                <w:szCs w:val="20"/>
                <w:color w:val="auto"/>
              </w:rPr>
            </w:pPr>
            <w:r>
              <w:rPr>
                <w:rFonts w:ascii="Arial" w:cs="Arial" w:eastAsia="Arial" w:hAnsi="Arial"/>
                <w:sz w:val="11"/>
                <w:szCs w:val="11"/>
                <w:b w:val="1"/>
                <w:bCs w:val="1"/>
                <w:color w:val="auto"/>
              </w:rPr>
              <w:t>ROW</w:t>
            </w:r>
          </w:p>
        </w:tc>
        <w:tc>
          <w:tcPr>
            <w:tcW w:w="900" w:type="dxa"/>
            <w:vAlign w:val="bottom"/>
            <w:gridSpan w:val="3"/>
          </w:tcPr>
          <w:p>
            <w:pPr>
              <w:ind w:left="140"/>
              <w:spacing w:after="0"/>
              <w:rPr>
                <w:sz w:val="20"/>
                <w:szCs w:val="20"/>
                <w:color w:val="auto"/>
              </w:rPr>
            </w:pPr>
            <w:r>
              <w:rPr>
                <w:rFonts w:ascii="Arial" w:cs="Arial" w:eastAsia="Arial" w:hAnsi="Arial"/>
                <w:sz w:val="11"/>
                <w:szCs w:val="11"/>
                <w:b w:val="1"/>
                <w:bCs w:val="1"/>
                <w:color w:val="auto"/>
              </w:rPr>
              <w:t>Total</w:t>
            </w: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U.S.</w:t>
            </w:r>
          </w:p>
        </w:tc>
        <w:tc>
          <w:tcPr>
            <w:tcW w:w="16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Europe</w:t>
            </w:r>
          </w:p>
        </w:tc>
        <w:tc>
          <w:tcPr>
            <w:tcW w:w="18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ROW</w:t>
            </w:r>
          </w:p>
        </w:tc>
        <w:tc>
          <w:tcPr>
            <w:tcW w:w="240" w:type="dxa"/>
            <w:vAlign w:val="bottom"/>
          </w:tcPr>
          <w:p>
            <w:pPr>
              <w:spacing w:after="0"/>
              <w:rPr>
                <w:sz w:val="13"/>
                <w:szCs w:val="13"/>
                <w:color w:val="auto"/>
              </w:rPr>
            </w:pPr>
          </w:p>
        </w:tc>
        <w:tc>
          <w:tcPr>
            <w:tcW w:w="520" w:type="dxa"/>
            <w:vAlign w:val="bottom"/>
          </w:tcPr>
          <w:p>
            <w:pPr>
              <w:jc w:val="right"/>
              <w:ind w:right="206"/>
              <w:spacing w:after="0"/>
              <w:rPr>
                <w:sz w:val="20"/>
                <w:szCs w:val="20"/>
                <w:color w:val="auto"/>
              </w:rPr>
            </w:pPr>
            <w:r>
              <w:rPr>
                <w:rFonts w:ascii="Arial" w:cs="Arial" w:eastAsia="Arial" w:hAnsi="Arial"/>
                <w:sz w:val="11"/>
                <w:szCs w:val="11"/>
                <w:b w:val="1"/>
                <w:bCs w:val="1"/>
                <w:color w:val="auto"/>
                <w:w w:val="91"/>
              </w:rPr>
              <w:t>Total</w:t>
            </w:r>
          </w:p>
        </w:tc>
      </w:tr>
      <w:tr>
        <w:trPr>
          <w:trHeight w:val="81"/>
        </w:trPr>
        <w:tc>
          <w:tcPr>
            <w:tcW w:w="2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r>
      <w:tr>
        <w:trPr>
          <w:trHeight w:val="162"/>
        </w:trPr>
        <w:tc>
          <w:tcPr>
            <w:tcW w:w="2200" w:type="dxa"/>
            <w:vAlign w:val="bottom"/>
            <w:gridSpan w:val="2"/>
            <w:shd w:val="clear" w:color="auto" w:fill="CDFFCC"/>
          </w:tcPr>
          <w:p>
            <w:pPr>
              <w:ind w:left="20"/>
              <w:spacing w:after="0"/>
              <w:rPr>
                <w:sz w:val="20"/>
                <w:szCs w:val="20"/>
                <w:color w:val="auto"/>
              </w:rPr>
            </w:pPr>
            <w:r>
              <w:rPr>
                <w:rFonts w:ascii="Arial" w:cs="Arial" w:eastAsia="Arial" w:hAnsi="Arial"/>
                <w:sz w:val="11"/>
                <w:szCs w:val="11"/>
                <w:b w:val="1"/>
                <w:bCs w:val="1"/>
                <w:color w:val="auto"/>
              </w:rPr>
              <w:t>Net sales</w:t>
            </w:r>
          </w:p>
        </w:tc>
        <w:tc>
          <w:tcPr>
            <w:tcW w:w="460" w:type="dxa"/>
            <w:vAlign w:val="bottom"/>
            <w:shd w:val="clear" w:color="auto" w:fill="CDFFCC"/>
          </w:tcPr>
          <w:p>
            <w:pPr>
              <w:jc w:val="right"/>
              <w:ind w:right="32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DFFCC"/>
          </w:tcPr>
          <w:p>
            <w:pPr>
              <w:jc w:val="right"/>
              <w:spacing w:after="0"/>
              <w:rPr>
                <w:sz w:val="20"/>
                <w:szCs w:val="20"/>
                <w:color w:val="auto"/>
              </w:rPr>
            </w:pPr>
            <w:r>
              <w:rPr>
                <w:rFonts w:ascii="Arial" w:cs="Arial" w:eastAsia="Arial" w:hAnsi="Arial"/>
                <w:sz w:val="11"/>
                <w:szCs w:val="11"/>
                <w:color w:val="auto"/>
                <w:w w:val="97"/>
              </w:rPr>
              <w:t>302  $</w:t>
            </w:r>
          </w:p>
        </w:tc>
        <w:tc>
          <w:tcPr>
            <w:tcW w:w="580" w:type="dxa"/>
            <w:vAlign w:val="bottom"/>
            <w:shd w:val="clear" w:color="auto" w:fill="CDFFCC"/>
          </w:tcPr>
          <w:p>
            <w:pPr>
              <w:jc w:val="right"/>
              <w:spacing w:after="0"/>
              <w:rPr>
                <w:sz w:val="20"/>
                <w:szCs w:val="20"/>
                <w:color w:val="auto"/>
              </w:rPr>
            </w:pPr>
            <w:r>
              <w:rPr>
                <w:rFonts w:ascii="Arial" w:cs="Arial" w:eastAsia="Arial" w:hAnsi="Arial"/>
                <w:sz w:val="11"/>
                <w:szCs w:val="11"/>
                <w:color w:val="auto"/>
              </w:rPr>
              <w:t>362</w:t>
            </w:r>
          </w:p>
        </w:tc>
        <w:tc>
          <w:tcPr>
            <w:tcW w:w="180" w:type="dxa"/>
            <w:vAlign w:val="bottom"/>
            <w:shd w:val="clear" w:color="auto" w:fill="CDFFCC"/>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DFFCC"/>
          </w:tcPr>
          <w:p>
            <w:pPr>
              <w:jc w:val="right"/>
              <w:spacing w:after="0"/>
              <w:rPr>
                <w:sz w:val="20"/>
                <w:szCs w:val="20"/>
                <w:color w:val="auto"/>
              </w:rPr>
            </w:pPr>
            <w:r>
              <w:rPr>
                <w:rFonts w:ascii="Arial" w:cs="Arial" w:eastAsia="Arial" w:hAnsi="Arial"/>
                <w:sz w:val="11"/>
                <w:szCs w:val="11"/>
                <w:color w:val="auto"/>
              </w:rPr>
              <w:t>215</w:t>
            </w:r>
          </w:p>
        </w:tc>
        <w:tc>
          <w:tcPr>
            <w:tcW w:w="260" w:type="dxa"/>
            <w:vAlign w:val="bottom"/>
            <w:shd w:val="clear" w:color="auto" w:fill="CDFFCC"/>
          </w:tcPr>
          <w:p>
            <w:pPr>
              <w:jc w:val="right"/>
              <w:ind w:right="106"/>
              <w:spacing w:after="0"/>
              <w:rPr>
                <w:sz w:val="20"/>
                <w:szCs w:val="20"/>
                <w:color w:val="auto"/>
              </w:rPr>
            </w:pPr>
            <w:r>
              <w:rPr>
                <w:rFonts w:ascii="Arial" w:cs="Arial" w:eastAsia="Arial" w:hAnsi="Arial"/>
                <w:sz w:val="11"/>
                <w:szCs w:val="11"/>
                <w:color w:val="auto"/>
              </w:rPr>
              <w:t>$</w:t>
            </w:r>
          </w:p>
        </w:tc>
        <w:tc>
          <w:tcPr>
            <w:tcW w:w="480" w:type="dxa"/>
            <w:vAlign w:val="bottom"/>
            <w:shd w:val="clear" w:color="auto" w:fill="CDFFCC"/>
          </w:tcPr>
          <w:p>
            <w:pPr>
              <w:jc w:val="right"/>
              <w:ind w:right="6"/>
              <w:spacing w:after="0"/>
              <w:rPr>
                <w:sz w:val="20"/>
                <w:szCs w:val="20"/>
                <w:color w:val="auto"/>
              </w:rPr>
            </w:pPr>
            <w:r>
              <w:rPr>
                <w:rFonts w:ascii="Arial" w:cs="Arial" w:eastAsia="Arial" w:hAnsi="Arial"/>
                <w:sz w:val="11"/>
                <w:szCs w:val="11"/>
                <w:color w:val="auto"/>
              </w:rPr>
              <w:t>879</w:t>
            </w:r>
          </w:p>
        </w:tc>
        <w:tc>
          <w:tcPr>
            <w:tcW w:w="100" w:type="dxa"/>
            <w:vAlign w:val="bottom"/>
            <w:shd w:val="clear" w:color="auto" w:fill="CDFFCC"/>
          </w:tcPr>
          <w:p>
            <w:pPr>
              <w:spacing w:after="0"/>
              <w:rPr>
                <w:sz w:val="14"/>
                <w:szCs w:val="14"/>
                <w:color w:val="auto"/>
              </w:rPr>
            </w:pPr>
          </w:p>
        </w:tc>
        <w:tc>
          <w:tcPr>
            <w:tcW w:w="840" w:type="dxa"/>
            <w:vAlign w:val="bottom"/>
            <w:shd w:val="clear" w:color="auto" w:fill="CDFFCC"/>
          </w:tcPr>
          <w:p>
            <w:pPr>
              <w:jc w:val="right"/>
              <w:ind w:right="66"/>
              <w:spacing w:after="0"/>
              <w:rPr>
                <w:sz w:val="20"/>
                <w:szCs w:val="20"/>
                <w:color w:val="auto"/>
              </w:rPr>
            </w:pPr>
            <w:r>
              <w:rPr>
                <w:rFonts w:ascii="Arial" w:cs="Arial" w:eastAsia="Arial" w:hAnsi="Arial"/>
                <w:sz w:val="11"/>
                <w:szCs w:val="11"/>
                <w:color w:val="auto"/>
              </w:rPr>
              <w:t>(15.2 %)</w:t>
            </w:r>
          </w:p>
        </w:tc>
        <w:tc>
          <w:tcPr>
            <w:tcW w:w="800" w:type="dxa"/>
            <w:vAlign w:val="bottom"/>
            <w:shd w:val="clear" w:color="auto" w:fill="CDFFCC"/>
          </w:tcPr>
          <w:p>
            <w:pPr>
              <w:jc w:val="right"/>
              <w:ind w:right="86"/>
              <w:spacing w:after="0"/>
              <w:rPr>
                <w:sz w:val="20"/>
                <w:szCs w:val="20"/>
                <w:color w:val="auto"/>
              </w:rPr>
            </w:pPr>
            <w:r>
              <w:rPr>
                <w:rFonts w:ascii="Arial" w:cs="Arial" w:eastAsia="Arial" w:hAnsi="Arial"/>
                <w:sz w:val="11"/>
                <w:szCs w:val="11"/>
                <w:color w:val="auto"/>
              </w:rPr>
              <w:t>(3.4 %)</w:t>
            </w:r>
          </w:p>
        </w:tc>
        <w:tc>
          <w:tcPr>
            <w:tcW w:w="760" w:type="dxa"/>
            <w:vAlign w:val="bottom"/>
            <w:shd w:val="clear" w:color="auto" w:fill="CDFFCC"/>
          </w:tcPr>
          <w:p>
            <w:pPr>
              <w:jc w:val="right"/>
              <w:ind w:right="106"/>
              <w:spacing w:after="0"/>
              <w:rPr>
                <w:sz w:val="20"/>
                <w:szCs w:val="20"/>
                <w:color w:val="auto"/>
              </w:rPr>
            </w:pPr>
            <w:r>
              <w:rPr>
                <w:rFonts w:ascii="Arial" w:cs="Arial" w:eastAsia="Arial" w:hAnsi="Arial"/>
                <w:sz w:val="11"/>
                <w:szCs w:val="11"/>
                <w:color w:val="auto"/>
              </w:rPr>
              <w:t>(2.8 %)</w:t>
            </w:r>
          </w:p>
        </w:tc>
        <w:tc>
          <w:tcPr>
            <w:tcW w:w="900" w:type="dxa"/>
            <w:vAlign w:val="bottom"/>
            <w:gridSpan w:val="3"/>
            <w:shd w:val="clear" w:color="auto" w:fill="CDFFCC"/>
          </w:tcPr>
          <w:p>
            <w:pPr>
              <w:ind w:left="260"/>
              <w:spacing w:after="0"/>
              <w:rPr>
                <w:sz w:val="20"/>
                <w:szCs w:val="20"/>
                <w:color w:val="auto"/>
              </w:rPr>
            </w:pPr>
            <w:r>
              <w:rPr>
                <w:rFonts w:ascii="Arial" w:cs="Arial" w:eastAsia="Arial" w:hAnsi="Arial"/>
                <w:sz w:val="11"/>
                <w:szCs w:val="11"/>
                <w:color w:val="auto"/>
              </w:rPr>
              <w:t>(7.7 %)   $</w:t>
            </w:r>
          </w:p>
        </w:tc>
        <w:tc>
          <w:tcPr>
            <w:tcW w:w="540" w:type="dxa"/>
            <w:vAlign w:val="bottom"/>
            <w:shd w:val="clear" w:color="auto" w:fill="CDFFCC"/>
          </w:tcPr>
          <w:p>
            <w:pPr>
              <w:jc w:val="right"/>
              <w:spacing w:after="0"/>
              <w:rPr>
                <w:sz w:val="20"/>
                <w:szCs w:val="20"/>
                <w:color w:val="auto"/>
              </w:rPr>
            </w:pPr>
            <w:r>
              <w:rPr>
                <w:rFonts w:ascii="Arial" w:cs="Arial" w:eastAsia="Arial" w:hAnsi="Arial"/>
                <w:sz w:val="11"/>
                <w:szCs w:val="11"/>
                <w:color w:val="auto"/>
              </w:rPr>
              <w:t>356</w:t>
            </w:r>
          </w:p>
        </w:tc>
        <w:tc>
          <w:tcPr>
            <w:tcW w:w="160" w:type="dxa"/>
            <w:vAlign w:val="bottom"/>
            <w:shd w:val="clear" w:color="auto" w:fill="CDFFCC"/>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DFFCC"/>
          </w:tcPr>
          <w:p>
            <w:pPr>
              <w:jc w:val="right"/>
              <w:spacing w:after="0"/>
              <w:rPr>
                <w:sz w:val="20"/>
                <w:szCs w:val="20"/>
                <w:color w:val="auto"/>
              </w:rPr>
            </w:pPr>
            <w:r>
              <w:rPr>
                <w:rFonts w:ascii="Arial" w:cs="Arial" w:eastAsia="Arial" w:hAnsi="Arial"/>
                <w:sz w:val="11"/>
                <w:szCs w:val="11"/>
                <w:color w:val="auto"/>
              </w:rPr>
              <w:t>376</w:t>
            </w:r>
          </w:p>
        </w:tc>
        <w:tc>
          <w:tcPr>
            <w:tcW w:w="180" w:type="dxa"/>
            <w:vAlign w:val="bottom"/>
            <w:shd w:val="clear" w:color="auto" w:fill="CDFFCC"/>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shd w:val="clear" w:color="auto" w:fill="CDFFCC"/>
          </w:tcPr>
          <w:p>
            <w:pPr>
              <w:jc w:val="right"/>
              <w:spacing w:after="0"/>
              <w:rPr>
                <w:sz w:val="20"/>
                <w:szCs w:val="20"/>
                <w:color w:val="auto"/>
              </w:rPr>
            </w:pPr>
            <w:r>
              <w:rPr>
                <w:rFonts w:ascii="Arial" w:cs="Arial" w:eastAsia="Arial" w:hAnsi="Arial"/>
                <w:sz w:val="11"/>
                <w:szCs w:val="11"/>
                <w:color w:val="auto"/>
              </w:rPr>
              <w:t>221</w:t>
            </w:r>
          </w:p>
        </w:tc>
        <w:tc>
          <w:tcPr>
            <w:tcW w:w="240" w:type="dxa"/>
            <w:vAlign w:val="bottom"/>
            <w:shd w:val="clear" w:color="auto" w:fill="CDFFCC"/>
          </w:tcPr>
          <w:p>
            <w:pPr>
              <w:jc w:val="right"/>
              <w:ind w:right="10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DFFCC"/>
          </w:tcPr>
          <w:p>
            <w:pPr>
              <w:jc w:val="right"/>
              <w:ind w:right="6"/>
              <w:spacing w:after="0"/>
              <w:rPr>
                <w:sz w:val="20"/>
                <w:szCs w:val="20"/>
                <w:color w:val="auto"/>
              </w:rPr>
            </w:pPr>
            <w:r>
              <w:rPr>
                <w:rFonts w:ascii="Arial" w:cs="Arial" w:eastAsia="Arial" w:hAnsi="Arial"/>
                <w:sz w:val="11"/>
                <w:szCs w:val="11"/>
                <w:color w:val="auto"/>
              </w:rPr>
              <w:t>953</w:t>
            </w:r>
          </w:p>
        </w:tc>
      </w:tr>
      <w:tr>
        <w:trPr>
          <w:trHeight w:val="156"/>
        </w:trPr>
        <w:tc>
          <w:tcPr>
            <w:tcW w:w="2200" w:type="dxa"/>
            <w:vAlign w:val="bottom"/>
            <w:tcBorders>
              <w:bottom w:val="single" w:sz="8" w:color="CDFFCC"/>
            </w:tcBorders>
            <w:gridSpan w:val="2"/>
          </w:tcPr>
          <w:p>
            <w:pPr>
              <w:ind w:left="140"/>
              <w:spacing w:after="0"/>
              <w:rPr>
                <w:sz w:val="20"/>
                <w:szCs w:val="20"/>
                <w:color w:val="auto"/>
              </w:rPr>
            </w:pPr>
            <w:r>
              <w:rPr>
                <w:rFonts w:ascii="Arial" w:cs="Arial" w:eastAsia="Arial" w:hAnsi="Arial"/>
                <w:sz w:val="11"/>
                <w:szCs w:val="11"/>
                <w:color w:val="auto"/>
              </w:rPr>
              <w:t>Foreign exchange impact</w:t>
            </w:r>
          </w:p>
        </w:tc>
        <w:tc>
          <w:tcPr>
            <w:tcW w:w="460" w:type="dxa"/>
            <w:vAlign w:val="bottom"/>
            <w:tcBorders>
              <w:bottom w:val="single" w:sz="8" w:color="CDFFCC"/>
            </w:tcBorders>
          </w:tcPr>
          <w:p>
            <w:pPr>
              <w:spacing w:after="0"/>
              <w:rPr>
                <w:sz w:val="13"/>
                <w:szCs w:val="13"/>
                <w:color w:val="auto"/>
              </w:rPr>
            </w:pPr>
          </w:p>
        </w:tc>
        <w:tc>
          <w:tcPr>
            <w:tcW w:w="360" w:type="dxa"/>
            <w:vAlign w:val="bottom"/>
            <w:tcBorders>
              <w:bottom w:val="single" w:sz="8" w:color="CDFFCC"/>
            </w:tcBorders>
          </w:tcPr>
          <w:p>
            <w:pPr>
              <w:spacing w:after="0"/>
              <w:rPr>
                <w:sz w:val="13"/>
                <w:szCs w:val="13"/>
                <w:color w:val="auto"/>
              </w:rPr>
            </w:pPr>
          </w:p>
        </w:tc>
        <w:tc>
          <w:tcPr>
            <w:tcW w:w="580" w:type="dxa"/>
            <w:vAlign w:val="bottom"/>
            <w:tcBorders>
              <w:bottom w:val="single" w:sz="8" w:color="CDFFCC"/>
            </w:tcBorders>
          </w:tcPr>
          <w:p>
            <w:pPr>
              <w:spacing w:after="0"/>
              <w:rPr>
                <w:sz w:val="13"/>
                <w:szCs w:val="13"/>
                <w:color w:val="auto"/>
              </w:rPr>
            </w:pPr>
          </w:p>
        </w:tc>
        <w:tc>
          <w:tcPr>
            <w:tcW w:w="180" w:type="dxa"/>
            <w:vAlign w:val="bottom"/>
            <w:tcBorders>
              <w:bottom w:val="single" w:sz="8" w:color="CDFFCC"/>
            </w:tcBorders>
          </w:tcPr>
          <w:p>
            <w:pPr>
              <w:spacing w:after="0"/>
              <w:rPr>
                <w:sz w:val="13"/>
                <w:szCs w:val="13"/>
                <w:color w:val="auto"/>
              </w:rPr>
            </w:pPr>
          </w:p>
        </w:tc>
        <w:tc>
          <w:tcPr>
            <w:tcW w:w="520" w:type="dxa"/>
            <w:vAlign w:val="bottom"/>
            <w:tcBorders>
              <w:bottom w:val="single" w:sz="8" w:color="CDFFCC"/>
            </w:tcBorders>
          </w:tcPr>
          <w:p>
            <w:pPr>
              <w:spacing w:after="0"/>
              <w:rPr>
                <w:sz w:val="13"/>
                <w:szCs w:val="13"/>
                <w:color w:val="auto"/>
              </w:rPr>
            </w:pPr>
          </w:p>
        </w:tc>
        <w:tc>
          <w:tcPr>
            <w:tcW w:w="260" w:type="dxa"/>
            <w:vAlign w:val="bottom"/>
            <w:tcBorders>
              <w:bottom w:val="single" w:sz="8" w:color="CDFFCC"/>
            </w:tcBorders>
          </w:tcPr>
          <w:p>
            <w:pPr>
              <w:spacing w:after="0"/>
              <w:rPr>
                <w:sz w:val="13"/>
                <w:szCs w:val="13"/>
                <w:color w:val="auto"/>
              </w:rPr>
            </w:pPr>
          </w:p>
        </w:tc>
        <w:tc>
          <w:tcPr>
            <w:tcW w:w="480" w:type="dxa"/>
            <w:vAlign w:val="bottom"/>
            <w:tcBorders>
              <w:bottom w:val="single" w:sz="8" w:color="CDFFCC"/>
            </w:tcBorders>
          </w:tcPr>
          <w:p>
            <w:pPr>
              <w:spacing w:after="0"/>
              <w:rPr>
                <w:sz w:val="13"/>
                <w:szCs w:val="13"/>
                <w:color w:val="auto"/>
              </w:rPr>
            </w:pPr>
          </w:p>
        </w:tc>
        <w:tc>
          <w:tcPr>
            <w:tcW w:w="100" w:type="dxa"/>
            <w:vAlign w:val="bottom"/>
            <w:tcBorders>
              <w:bottom w:val="single" w:sz="8" w:color="CDFFCC"/>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(0.3 %)</w:t>
            </w: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(4.5 %)</w:t>
            </w: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(5.9 %)</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(3.3 %)</w:t>
            </w:r>
          </w:p>
        </w:tc>
        <w:tc>
          <w:tcPr>
            <w:tcW w:w="80" w:type="dxa"/>
            <w:vAlign w:val="bottom"/>
            <w:tcBorders>
              <w:bottom w:val="single" w:sz="8" w:color="CDFFCC"/>
            </w:tcBorders>
          </w:tcPr>
          <w:p>
            <w:pPr>
              <w:spacing w:after="0"/>
              <w:rPr>
                <w:sz w:val="13"/>
                <w:szCs w:val="13"/>
                <w:color w:val="auto"/>
              </w:rPr>
            </w:pPr>
          </w:p>
        </w:tc>
        <w:tc>
          <w:tcPr>
            <w:tcW w:w="180" w:type="dxa"/>
            <w:vAlign w:val="bottom"/>
            <w:tcBorders>
              <w:bottom w:val="single" w:sz="8" w:color="CDFFCC"/>
            </w:tcBorders>
          </w:tcPr>
          <w:p>
            <w:pPr>
              <w:spacing w:after="0"/>
              <w:rPr>
                <w:sz w:val="13"/>
                <w:szCs w:val="13"/>
                <w:color w:val="auto"/>
              </w:rPr>
            </w:pPr>
          </w:p>
        </w:tc>
        <w:tc>
          <w:tcPr>
            <w:tcW w:w="540" w:type="dxa"/>
            <w:vAlign w:val="bottom"/>
            <w:tcBorders>
              <w:bottom w:val="single" w:sz="8" w:color="CDFFCC"/>
            </w:tcBorders>
          </w:tcPr>
          <w:p>
            <w:pPr>
              <w:spacing w:after="0"/>
              <w:rPr>
                <w:sz w:val="13"/>
                <w:szCs w:val="13"/>
                <w:color w:val="auto"/>
              </w:rPr>
            </w:pPr>
          </w:p>
        </w:tc>
        <w:tc>
          <w:tcPr>
            <w:tcW w:w="160" w:type="dxa"/>
            <w:vAlign w:val="bottom"/>
            <w:tcBorders>
              <w:bottom w:val="single" w:sz="8" w:color="CDFFCC"/>
            </w:tcBorders>
          </w:tcPr>
          <w:p>
            <w:pPr>
              <w:spacing w:after="0"/>
              <w:rPr>
                <w:sz w:val="13"/>
                <w:szCs w:val="13"/>
                <w:color w:val="auto"/>
              </w:rPr>
            </w:pPr>
          </w:p>
        </w:tc>
        <w:tc>
          <w:tcPr>
            <w:tcW w:w="580" w:type="dxa"/>
            <w:vAlign w:val="bottom"/>
            <w:tcBorders>
              <w:bottom w:val="single" w:sz="8" w:color="CDFFCC"/>
            </w:tcBorders>
          </w:tcPr>
          <w:p>
            <w:pPr>
              <w:spacing w:after="0"/>
              <w:rPr>
                <w:sz w:val="13"/>
                <w:szCs w:val="13"/>
                <w:color w:val="auto"/>
              </w:rPr>
            </w:pPr>
          </w:p>
        </w:tc>
        <w:tc>
          <w:tcPr>
            <w:tcW w:w="180" w:type="dxa"/>
            <w:vAlign w:val="bottom"/>
            <w:tcBorders>
              <w:bottom w:val="single" w:sz="8" w:color="CDFFCC"/>
            </w:tcBorders>
          </w:tcPr>
          <w:p>
            <w:pPr>
              <w:spacing w:after="0"/>
              <w:rPr>
                <w:sz w:val="13"/>
                <w:szCs w:val="13"/>
                <w:color w:val="auto"/>
              </w:rPr>
            </w:pPr>
          </w:p>
        </w:tc>
        <w:tc>
          <w:tcPr>
            <w:tcW w:w="560" w:type="dxa"/>
            <w:vAlign w:val="bottom"/>
            <w:tcBorders>
              <w:bottom w:val="single" w:sz="8" w:color="CDFFCC"/>
            </w:tcBorders>
          </w:tcPr>
          <w:p>
            <w:pPr>
              <w:spacing w:after="0"/>
              <w:rPr>
                <w:sz w:val="13"/>
                <w:szCs w:val="13"/>
                <w:color w:val="auto"/>
              </w:rPr>
            </w:pPr>
          </w:p>
        </w:tc>
        <w:tc>
          <w:tcPr>
            <w:tcW w:w="240" w:type="dxa"/>
            <w:vAlign w:val="bottom"/>
            <w:tcBorders>
              <w:bottom w:val="single" w:sz="8" w:color="CDFFCC"/>
            </w:tcBorders>
          </w:tcPr>
          <w:p>
            <w:pPr>
              <w:spacing w:after="0"/>
              <w:rPr>
                <w:sz w:val="13"/>
                <w:szCs w:val="13"/>
                <w:color w:val="auto"/>
              </w:rPr>
            </w:pPr>
          </w:p>
        </w:tc>
        <w:tc>
          <w:tcPr>
            <w:tcW w:w="520" w:type="dxa"/>
            <w:vAlign w:val="bottom"/>
            <w:tcBorders>
              <w:bottom w:val="single" w:sz="8" w:color="CDFFCC"/>
            </w:tcBorders>
          </w:tcPr>
          <w:p>
            <w:pPr>
              <w:spacing w:after="0"/>
              <w:rPr>
                <w:sz w:val="13"/>
                <w:szCs w:val="13"/>
                <w:color w:val="auto"/>
              </w:rPr>
            </w:pPr>
          </w:p>
        </w:tc>
      </w:tr>
      <w:tr>
        <w:trPr>
          <w:trHeight w:val="187"/>
        </w:trPr>
        <w:tc>
          <w:tcPr>
            <w:tcW w:w="2200" w:type="dxa"/>
            <w:vAlign w:val="bottom"/>
            <w:tcBorders>
              <w:bottom w:val="single" w:sz="8" w:color="CDFFCC"/>
            </w:tcBorders>
            <w:gridSpan w:val="2"/>
            <w:shd w:val="clear" w:color="auto" w:fill="CDFFCC"/>
          </w:tcPr>
          <w:p>
            <w:pPr>
              <w:ind w:left="20"/>
              <w:spacing w:after="0"/>
              <w:rPr>
                <w:sz w:val="20"/>
                <w:szCs w:val="20"/>
                <w:color w:val="auto"/>
              </w:rPr>
            </w:pPr>
            <w:r>
              <w:rPr>
                <w:rFonts w:ascii="Arial" w:cs="Arial" w:eastAsia="Arial" w:hAnsi="Arial"/>
                <w:sz w:val="11"/>
                <w:szCs w:val="11"/>
                <w:b w:val="1"/>
                <w:bCs w:val="1"/>
                <w:color w:val="auto"/>
              </w:rPr>
              <w:t>Organic sales</w:t>
            </w:r>
          </w:p>
        </w:tc>
        <w:tc>
          <w:tcPr>
            <w:tcW w:w="460" w:type="dxa"/>
            <w:vAlign w:val="bottom"/>
            <w:tcBorders>
              <w:bottom w:val="single" w:sz="8" w:color="CDFFCC"/>
            </w:tcBorders>
            <w:shd w:val="clear" w:color="auto" w:fill="CDFFCC"/>
          </w:tcPr>
          <w:p>
            <w:pPr>
              <w:spacing w:after="0"/>
              <w:rPr>
                <w:sz w:val="15"/>
                <w:szCs w:val="15"/>
                <w:color w:val="auto"/>
              </w:rPr>
            </w:pPr>
          </w:p>
        </w:tc>
        <w:tc>
          <w:tcPr>
            <w:tcW w:w="360" w:type="dxa"/>
            <w:vAlign w:val="bottom"/>
            <w:tcBorders>
              <w:bottom w:val="single" w:sz="8" w:color="CDFFCC"/>
            </w:tcBorders>
            <w:shd w:val="clear" w:color="auto" w:fill="CDFFCC"/>
          </w:tcPr>
          <w:p>
            <w:pPr>
              <w:spacing w:after="0"/>
              <w:rPr>
                <w:sz w:val="15"/>
                <w:szCs w:val="15"/>
                <w:color w:val="auto"/>
              </w:rPr>
            </w:pPr>
          </w:p>
        </w:tc>
        <w:tc>
          <w:tcPr>
            <w:tcW w:w="580" w:type="dxa"/>
            <w:vAlign w:val="bottom"/>
            <w:tcBorders>
              <w:bottom w:val="single" w:sz="8" w:color="CDFFCC"/>
            </w:tcBorders>
            <w:shd w:val="clear" w:color="auto" w:fill="CDFFCC"/>
          </w:tcPr>
          <w:p>
            <w:pPr>
              <w:spacing w:after="0"/>
              <w:rPr>
                <w:sz w:val="15"/>
                <w:szCs w:val="15"/>
                <w:color w:val="auto"/>
              </w:rPr>
            </w:pPr>
          </w:p>
        </w:tc>
        <w:tc>
          <w:tcPr>
            <w:tcW w:w="180" w:type="dxa"/>
            <w:vAlign w:val="bottom"/>
            <w:tcBorders>
              <w:bottom w:val="single" w:sz="8" w:color="CDFFCC"/>
            </w:tcBorders>
            <w:shd w:val="clear" w:color="auto" w:fill="CDFFCC"/>
          </w:tcPr>
          <w:p>
            <w:pPr>
              <w:spacing w:after="0"/>
              <w:rPr>
                <w:sz w:val="15"/>
                <w:szCs w:val="15"/>
                <w:color w:val="auto"/>
              </w:rPr>
            </w:pPr>
          </w:p>
        </w:tc>
        <w:tc>
          <w:tcPr>
            <w:tcW w:w="520" w:type="dxa"/>
            <w:vAlign w:val="bottom"/>
            <w:tcBorders>
              <w:bottom w:val="single" w:sz="8" w:color="CDFFCC"/>
            </w:tcBorders>
            <w:shd w:val="clear" w:color="auto" w:fill="CDFFCC"/>
          </w:tcPr>
          <w:p>
            <w:pPr>
              <w:spacing w:after="0"/>
              <w:rPr>
                <w:sz w:val="15"/>
                <w:szCs w:val="15"/>
                <w:color w:val="auto"/>
              </w:rPr>
            </w:pPr>
          </w:p>
        </w:tc>
        <w:tc>
          <w:tcPr>
            <w:tcW w:w="260" w:type="dxa"/>
            <w:vAlign w:val="bottom"/>
            <w:tcBorders>
              <w:bottom w:val="single" w:sz="8" w:color="CDFFCC"/>
            </w:tcBorders>
            <w:shd w:val="clear" w:color="auto" w:fill="CDFFCC"/>
          </w:tcPr>
          <w:p>
            <w:pPr>
              <w:spacing w:after="0"/>
              <w:rPr>
                <w:sz w:val="15"/>
                <w:szCs w:val="15"/>
                <w:color w:val="auto"/>
              </w:rPr>
            </w:pPr>
          </w:p>
        </w:tc>
        <w:tc>
          <w:tcPr>
            <w:tcW w:w="480" w:type="dxa"/>
            <w:vAlign w:val="bottom"/>
            <w:tcBorders>
              <w:bottom w:val="single" w:sz="8" w:color="CDFFCC"/>
            </w:tcBorders>
            <w:shd w:val="clear" w:color="auto" w:fill="CDFFCC"/>
          </w:tcPr>
          <w:p>
            <w:pPr>
              <w:spacing w:after="0"/>
              <w:rPr>
                <w:sz w:val="15"/>
                <w:szCs w:val="15"/>
                <w:color w:val="auto"/>
              </w:rPr>
            </w:pPr>
          </w:p>
        </w:tc>
        <w:tc>
          <w:tcPr>
            <w:tcW w:w="100" w:type="dxa"/>
            <w:vAlign w:val="bottom"/>
            <w:tcBorders>
              <w:bottom w:val="single" w:sz="8" w:color="CDFFCC"/>
            </w:tcBorders>
            <w:shd w:val="clear" w:color="auto" w:fill="CDFFCC"/>
          </w:tcPr>
          <w:p>
            <w:pPr>
              <w:spacing w:after="0"/>
              <w:rPr>
                <w:sz w:val="15"/>
                <w:szCs w:val="15"/>
                <w:color w:val="auto"/>
              </w:rPr>
            </w:pPr>
          </w:p>
        </w:tc>
        <w:tc>
          <w:tcPr>
            <w:tcW w:w="840" w:type="dxa"/>
            <w:vAlign w:val="bottom"/>
            <w:tcBorders>
              <w:bottom w:val="single" w:sz="8" w:color="auto"/>
            </w:tcBorders>
            <w:shd w:val="clear" w:color="auto" w:fill="CDFFCC"/>
          </w:tcPr>
          <w:p>
            <w:pPr>
              <w:jc w:val="right"/>
              <w:ind w:right="66"/>
              <w:spacing w:after="0"/>
              <w:rPr>
                <w:sz w:val="20"/>
                <w:szCs w:val="20"/>
                <w:color w:val="auto"/>
              </w:rPr>
            </w:pPr>
            <w:r>
              <w:rPr>
                <w:rFonts w:ascii="Arial" w:cs="Arial" w:eastAsia="Arial" w:hAnsi="Arial"/>
                <w:sz w:val="11"/>
                <w:szCs w:val="11"/>
                <w:b w:val="1"/>
                <w:bCs w:val="1"/>
                <w:color w:val="auto"/>
              </w:rPr>
              <w:t>(14.9 %)</w:t>
            </w:r>
          </w:p>
        </w:tc>
        <w:tc>
          <w:tcPr>
            <w:tcW w:w="800" w:type="dxa"/>
            <w:vAlign w:val="bottom"/>
            <w:tcBorders>
              <w:bottom w:val="single" w:sz="8" w:color="auto"/>
            </w:tcBorders>
            <w:shd w:val="clear" w:color="auto" w:fill="CDFFCC"/>
          </w:tcPr>
          <w:p>
            <w:pPr>
              <w:jc w:val="right"/>
              <w:ind w:right="126"/>
              <w:spacing w:after="0"/>
              <w:rPr>
                <w:sz w:val="20"/>
                <w:szCs w:val="20"/>
                <w:color w:val="auto"/>
              </w:rPr>
            </w:pPr>
            <w:r>
              <w:rPr>
                <w:rFonts w:ascii="Arial" w:cs="Arial" w:eastAsia="Arial" w:hAnsi="Arial"/>
                <w:sz w:val="11"/>
                <w:szCs w:val="11"/>
                <w:b w:val="1"/>
                <w:bCs w:val="1"/>
                <w:color w:val="auto"/>
              </w:rPr>
              <w:t>1.1 %</w:t>
            </w:r>
          </w:p>
        </w:tc>
        <w:tc>
          <w:tcPr>
            <w:tcW w:w="760" w:type="dxa"/>
            <w:vAlign w:val="bottom"/>
            <w:tcBorders>
              <w:bottom w:val="single" w:sz="8" w:color="auto"/>
            </w:tcBorders>
            <w:shd w:val="clear" w:color="auto" w:fill="CDFFCC"/>
          </w:tcPr>
          <w:p>
            <w:pPr>
              <w:jc w:val="right"/>
              <w:ind w:right="126"/>
              <w:spacing w:after="0"/>
              <w:rPr>
                <w:sz w:val="20"/>
                <w:szCs w:val="20"/>
                <w:color w:val="auto"/>
              </w:rPr>
            </w:pPr>
            <w:r>
              <w:rPr>
                <w:rFonts w:ascii="Arial" w:cs="Arial" w:eastAsia="Arial" w:hAnsi="Arial"/>
                <w:sz w:val="11"/>
                <w:szCs w:val="11"/>
                <w:b w:val="1"/>
                <w:bCs w:val="1"/>
                <w:color w:val="auto"/>
              </w:rPr>
              <w:t>3.1 %</w:t>
            </w:r>
          </w:p>
        </w:tc>
        <w:tc>
          <w:tcPr>
            <w:tcW w:w="640" w:type="dxa"/>
            <w:vAlign w:val="bottom"/>
            <w:tcBorders>
              <w:bottom w:val="single" w:sz="8" w:color="auto"/>
            </w:tcBorders>
            <w:shd w:val="clear" w:color="auto" w:fill="CDFFCC"/>
          </w:tcPr>
          <w:p>
            <w:pPr>
              <w:ind w:left="260"/>
              <w:spacing w:after="0"/>
              <w:rPr>
                <w:sz w:val="20"/>
                <w:szCs w:val="20"/>
                <w:color w:val="auto"/>
              </w:rPr>
            </w:pPr>
            <w:r>
              <w:rPr>
                <w:rFonts w:ascii="Arial" w:cs="Arial" w:eastAsia="Arial" w:hAnsi="Arial"/>
                <w:sz w:val="11"/>
                <w:szCs w:val="11"/>
                <w:b w:val="1"/>
                <w:bCs w:val="1"/>
                <w:color w:val="auto"/>
              </w:rPr>
              <w:t>(4.4 %)</w:t>
            </w:r>
          </w:p>
        </w:tc>
        <w:tc>
          <w:tcPr>
            <w:tcW w:w="80" w:type="dxa"/>
            <w:vAlign w:val="bottom"/>
            <w:tcBorders>
              <w:bottom w:val="single" w:sz="8" w:color="CDFFCC"/>
            </w:tcBorders>
            <w:shd w:val="clear" w:color="auto" w:fill="CDFFCC"/>
          </w:tcPr>
          <w:p>
            <w:pPr>
              <w:spacing w:after="0"/>
              <w:rPr>
                <w:sz w:val="15"/>
                <w:szCs w:val="15"/>
                <w:color w:val="auto"/>
              </w:rPr>
            </w:pPr>
          </w:p>
        </w:tc>
        <w:tc>
          <w:tcPr>
            <w:tcW w:w="180" w:type="dxa"/>
            <w:vAlign w:val="bottom"/>
            <w:tcBorders>
              <w:bottom w:val="single" w:sz="8" w:color="CDFFCC"/>
            </w:tcBorders>
            <w:shd w:val="clear" w:color="auto" w:fill="CDFFCC"/>
          </w:tcPr>
          <w:p>
            <w:pPr>
              <w:spacing w:after="0"/>
              <w:rPr>
                <w:sz w:val="15"/>
                <w:szCs w:val="15"/>
                <w:color w:val="auto"/>
              </w:rPr>
            </w:pPr>
          </w:p>
        </w:tc>
        <w:tc>
          <w:tcPr>
            <w:tcW w:w="540" w:type="dxa"/>
            <w:vAlign w:val="bottom"/>
            <w:tcBorders>
              <w:bottom w:val="single" w:sz="8" w:color="CDFFCC"/>
            </w:tcBorders>
            <w:shd w:val="clear" w:color="auto" w:fill="CDFFCC"/>
          </w:tcPr>
          <w:p>
            <w:pPr>
              <w:spacing w:after="0"/>
              <w:rPr>
                <w:sz w:val="15"/>
                <w:szCs w:val="15"/>
                <w:color w:val="auto"/>
              </w:rPr>
            </w:pPr>
          </w:p>
        </w:tc>
        <w:tc>
          <w:tcPr>
            <w:tcW w:w="160" w:type="dxa"/>
            <w:vAlign w:val="bottom"/>
            <w:tcBorders>
              <w:bottom w:val="single" w:sz="8" w:color="CDFFCC"/>
            </w:tcBorders>
            <w:shd w:val="clear" w:color="auto" w:fill="CDFFCC"/>
          </w:tcPr>
          <w:p>
            <w:pPr>
              <w:spacing w:after="0"/>
              <w:rPr>
                <w:sz w:val="15"/>
                <w:szCs w:val="15"/>
                <w:color w:val="auto"/>
              </w:rPr>
            </w:pPr>
          </w:p>
        </w:tc>
        <w:tc>
          <w:tcPr>
            <w:tcW w:w="580" w:type="dxa"/>
            <w:vAlign w:val="bottom"/>
            <w:tcBorders>
              <w:bottom w:val="single" w:sz="8" w:color="CDFFCC"/>
            </w:tcBorders>
            <w:shd w:val="clear" w:color="auto" w:fill="CDFFCC"/>
          </w:tcPr>
          <w:p>
            <w:pPr>
              <w:spacing w:after="0"/>
              <w:rPr>
                <w:sz w:val="15"/>
                <w:szCs w:val="15"/>
                <w:color w:val="auto"/>
              </w:rPr>
            </w:pPr>
          </w:p>
        </w:tc>
        <w:tc>
          <w:tcPr>
            <w:tcW w:w="180" w:type="dxa"/>
            <w:vAlign w:val="bottom"/>
            <w:tcBorders>
              <w:bottom w:val="single" w:sz="8" w:color="CDFFCC"/>
            </w:tcBorders>
            <w:shd w:val="clear" w:color="auto" w:fill="CDFFCC"/>
          </w:tcPr>
          <w:p>
            <w:pPr>
              <w:spacing w:after="0"/>
              <w:rPr>
                <w:sz w:val="15"/>
                <w:szCs w:val="15"/>
                <w:color w:val="auto"/>
              </w:rPr>
            </w:pPr>
          </w:p>
        </w:tc>
        <w:tc>
          <w:tcPr>
            <w:tcW w:w="560" w:type="dxa"/>
            <w:vAlign w:val="bottom"/>
            <w:tcBorders>
              <w:bottom w:val="single" w:sz="8" w:color="CDFFCC"/>
            </w:tcBorders>
            <w:shd w:val="clear" w:color="auto" w:fill="CDFFCC"/>
          </w:tcPr>
          <w:p>
            <w:pPr>
              <w:spacing w:after="0"/>
              <w:rPr>
                <w:sz w:val="15"/>
                <w:szCs w:val="15"/>
                <w:color w:val="auto"/>
              </w:rPr>
            </w:pPr>
          </w:p>
        </w:tc>
        <w:tc>
          <w:tcPr>
            <w:tcW w:w="240" w:type="dxa"/>
            <w:vAlign w:val="bottom"/>
            <w:tcBorders>
              <w:bottom w:val="single" w:sz="8" w:color="CDFFCC"/>
            </w:tcBorders>
            <w:shd w:val="clear" w:color="auto" w:fill="CDFFCC"/>
          </w:tcPr>
          <w:p>
            <w:pPr>
              <w:spacing w:after="0"/>
              <w:rPr>
                <w:sz w:val="15"/>
                <w:szCs w:val="15"/>
                <w:color w:val="auto"/>
              </w:rPr>
            </w:pPr>
          </w:p>
        </w:tc>
        <w:tc>
          <w:tcPr>
            <w:tcW w:w="520" w:type="dxa"/>
            <w:vAlign w:val="bottom"/>
            <w:tcBorders>
              <w:bottom w:val="single" w:sz="8" w:color="CDFFCC"/>
            </w:tcBorders>
            <w:shd w:val="clear" w:color="auto" w:fill="CDFFCC"/>
          </w:tcPr>
          <w:p>
            <w:pPr>
              <w:spacing w:after="0"/>
              <w:rPr>
                <w:sz w:val="15"/>
                <w:szCs w:val="15"/>
                <w:color w:val="auto"/>
              </w:rPr>
            </w:pPr>
          </w:p>
        </w:tc>
      </w:tr>
      <w:tr>
        <w:trPr>
          <w:trHeight w:val="20"/>
        </w:trPr>
        <w:tc>
          <w:tcPr>
            <w:tcW w:w="21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460" w:type="dxa"/>
            <w:vAlign w:val="bottom"/>
            <w:tcBorders>
              <w:top w:val="single" w:sz="8" w:color="CDFFCC"/>
            </w:tcBorders>
          </w:tcPr>
          <w:p>
            <w:pPr>
              <w:spacing w:after="0" w:line="20" w:lineRule="exact"/>
              <w:rPr>
                <w:sz w:val="1"/>
                <w:szCs w:val="1"/>
                <w:color w:val="auto"/>
              </w:rPr>
            </w:pPr>
          </w:p>
        </w:tc>
        <w:tc>
          <w:tcPr>
            <w:tcW w:w="360" w:type="dxa"/>
            <w:vAlign w:val="bottom"/>
            <w:tcBorders>
              <w:top w:val="single" w:sz="8" w:color="CDFFCC"/>
            </w:tcBorders>
          </w:tcPr>
          <w:p>
            <w:pPr>
              <w:spacing w:after="0" w:line="20" w:lineRule="exact"/>
              <w:rPr>
                <w:sz w:val="1"/>
                <w:szCs w:val="1"/>
                <w:color w:val="auto"/>
              </w:rPr>
            </w:pPr>
          </w:p>
        </w:tc>
        <w:tc>
          <w:tcPr>
            <w:tcW w:w="58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tcBorders>
          </w:tcPr>
          <w:p>
            <w:pPr>
              <w:spacing w:after="0" w:line="20" w:lineRule="exact"/>
              <w:rPr>
                <w:sz w:val="1"/>
                <w:szCs w:val="1"/>
                <w:color w:val="auto"/>
              </w:rPr>
            </w:pPr>
          </w:p>
        </w:tc>
        <w:tc>
          <w:tcPr>
            <w:tcW w:w="52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tcBorders>
          </w:tcPr>
          <w:p>
            <w:pPr>
              <w:spacing w:after="0" w:line="20" w:lineRule="exact"/>
              <w:rPr>
                <w:sz w:val="1"/>
                <w:szCs w:val="1"/>
                <w:color w:val="auto"/>
              </w:rPr>
            </w:pPr>
          </w:p>
        </w:tc>
        <w:tc>
          <w:tcPr>
            <w:tcW w:w="48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840" w:type="dxa"/>
            <w:vAlign w:val="bottom"/>
            <w:tcBorders>
              <w:top w:val="single" w:sz="8" w:color="CDFFCC"/>
              <w:bottom w:val="single" w:sz="8" w:color="auto"/>
            </w:tcBorders>
          </w:tcPr>
          <w:p>
            <w:pPr>
              <w:spacing w:after="0" w:line="20" w:lineRule="exact"/>
              <w:rPr>
                <w:sz w:val="1"/>
                <w:szCs w:val="1"/>
                <w:color w:val="auto"/>
              </w:rPr>
            </w:pPr>
          </w:p>
        </w:tc>
        <w:tc>
          <w:tcPr>
            <w:tcW w:w="800" w:type="dxa"/>
            <w:vAlign w:val="bottom"/>
            <w:tcBorders>
              <w:top w:val="single" w:sz="8" w:color="CDFFCC"/>
              <w:bottom w:val="single" w:sz="8" w:color="auto"/>
            </w:tcBorders>
          </w:tcPr>
          <w:p>
            <w:pPr>
              <w:spacing w:after="0" w:line="20" w:lineRule="exact"/>
              <w:rPr>
                <w:sz w:val="1"/>
                <w:szCs w:val="1"/>
                <w:color w:val="auto"/>
              </w:rPr>
            </w:pPr>
          </w:p>
        </w:tc>
        <w:tc>
          <w:tcPr>
            <w:tcW w:w="760" w:type="dxa"/>
            <w:vAlign w:val="bottom"/>
            <w:tcBorders>
              <w:top w:val="single" w:sz="8" w:color="CDFFCC"/>
              <w:bottom w:val="single" w:sz="8" w:color="auto"/>
            </w:tcBorders>
          </w:tcPr>
          <w:p>
            <w:pPr>
              <w:spacing w:after="0" w:line="20" w:lineRule="exact"/>
              <w:rPr>
                <w:sz w:val="1"/>
                <w:szCs w:val="1"/>
                <w:color w:val="auto"/>
              </w:rPr>
            </w:pPr>
          </w:p>
        </w:tc>
        <w:tc>
          <w:tcPr>
            <w:tcW w:w="640" w:type="dxa"/>
            <w:vAlign w:val="bottom"/>
            <w:tcBorders>
              <w:top w:val="single" w:sz="8" w:color="CDFFCC"/>
              <w:bottom w:val="single" w:sz="8" w:color="auto"/>
            </w:tcBorders>
          </w:tcPr>
          <w:p>
            <w:pPr>
              <w:spacing w:after="0" w:line="20" w:lineRule="exact"/>
              <w:rPr>
                <w:sz w:val="1"/>
                <w:szCs w:val="1"/>
                <w:color w:val="auto"/>
              </w:rPr>
            </w:pPr>
          </w:p>
        </w:tc>
        <w:tc>
          <w:tcPr>
            <w:tcW w:w="8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tcBorders>
          </w:tcPr>
          <w:p>
            <w:pPr>
              <w:spacing w:after="0" w:line="20" w:lineRule="exact"/>
              <w:rPr>
                <w:sz w:val="1"/>
                <w:szCs w:val="1"/>
                <w:color w:val="auto"/>
              </w:rPr>
            </w:pPr>
          </w:p>
        </w:tc>
        <w:tc>
          <w:tcPr>
            <w:tcW w:w="54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CDFFCC"/>
            </w:tcBorders>
          </w:tcPr>
          <w:p>
            <w:pPr>
              <w:spacing w:after="0" w:line="20" w:lineRule="exact"/>
              <w:rPr>
                <w:sz w:val="1"/>
                <w:szCs w:val="1"/>
                <w:color w:val="auto"/>
              </w:rPr>
            </w:pPr>
          </w:p>
        </w:tc>
        <w:tc>
          <w:tcPr>
            <w:tcW w:w="58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tcBorders>
          </w:tcPr>
          <w:p>
            <w:pPr>
              <w:spacing w:after="0" w:line="20" w:lineRule="exact"/>
              <w:rPr>
                <w:sz w:val="1"/>
                <w:szCs w:val="1"/>
                <w:color w:val="auto"/>
              </w:rPr>
            </w:pPr>
          </w:p>
        </w:tc>
        <w:tc>
          <w:tcPr>
            <w:tcW w:w="56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tcBorders>
          </w:tcPr>
          <w:p>
            <w:pPr>
              <w:spacing w:after="0" w:line="20" w:lineRule="exact"/>
              <w:rPr>
                <w:sz w:val="1"/>
                <w:szCs w:val="1"/>
                <w:color w:val="auto"/>
              </w:rPr>
            </w:pPr>
          </w:p>
        </w:tc>
        <w:tc>
          <w:tcPr>
            <w:tcW w:w="520" w:type="dxa"/>
            <w:vAlign w:val="bottom"/>
            <w:tcBorders>
              <w:top w:val="single" w:sz="8" w:color="CDFFCC"/>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reported net sales to organic sales by segment is as follows:</w:t>
      </w:r>
    </w:p>
    <w:p>
      <w:pPr>
        <w:sectPr>
          <w:pgSz w:w="11900" w:h="16838" w:orient="portrait"/>
          <w:cols w:equalWidth="0" w:num="1">
            <w:col w:w="11240"/>
          </w:cols>
          <w:pgMar w:left="320" w:top="931" w:right="339" w:bottom="1440" w:gutter="0" w:footer="0" w:header="0"/>
        </w:sectPr>
      </w:pPr>
    </w:p>
    <w:p>
      <w:pPr>
        <w:spacing w:after="0" w:line="298" w:lineRule="exact"/>
        <w:rPr>
          <w:sz w:val="20"/>
          <w:szCs w:val="20"/>
          <w:color w:val="auto"/>
        </w:rPr>
      </w:pPr>
    </w:p>
    <w:p>
      <w:pPr>
        <w:ind w:left="1580"/>
        <w:spacing w:after="0"/>
        <w:rPr>
          <w:sz w:val="20"/>
          <w:szCs w:val="20"/>
          <w:color w:val="auto"/>
        </w:rPr>
      </w:pPr>
      <w:r>
        <w:rPr>
          <w:rFonts w:ascii="Arial" w:cs="Arial" w:eastAsia="Arial" w:hAnsi="Arial"/>
          <w:sz w:val="11"/>
          <w:szCs w:val="11"/>
          <w:b w:val="1"/>
          <w:bCs w:val="1"/>
          <w:color w:val="auto"/>
        </w:rPr>
        <w:t>Three Months Ended March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020" w:type="dxa"/>
            <w:vAlign w:val="bottom"/>
            <w:gridSpan w:val="2"/>
          </w:tcPr>
          <w:p>
            <w:pPr>
              <w:ind w:left="20"/>
              <w:spacing w:after="0" w:line="103" w:lineRule="exact"/>
              <w:rPr>
                <w:sz w:val="20"/>
                <w:szCs w:val="20"/>
                <w:color w:val="auto"/>
              </w:rPr>
            </w:pPr>
            <w:r>
              <w:rPr>
                <w:rFonts w:ascii="Arial" w:cs="Arial" w:eastAsia="Arial" w:hAnsi="Arial"/>
                <w:sz w:val="11"/>
                <w:szCs w:val="11"/>
                <w:color w:val="auto"/>
              </w:rPr>
              <w:t>(in millions,</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center"/>
              <w:ind w:right="36"/>
              <w:spacing w:after="0"/>
              <w:rPr>
                <w:sz w:val="20"/>
                <w:szCs w:val="20"/>
                <w:color w:val="auto"/>
              </w:rPr>
            </w:pPr>
            <w:r>
              <w:rPr>
                <w:rFonts w:ascii="Arial" w:cs="Arial" w:eastAsia="Arial" w:hAnsi="Arial"/>
                <w:sz w:val="8"/>
                <w:szCs w:val="8"/>
                <w:b w:val="1"/>
                <w:bCs w:val="1"/>
                <w:color w:val="auto"/>
              </w:rPr>
              <w:t>Connected</w:t>
            </w: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center"/>
              <w:ind w:right="16"/>
              <w:spacing w:after="0"/>
              <w:rPr>
                <w:sz w:val="20"/>
                <w:szCs w:val="20"/>
                <w:color w:val="auto"/>
              </w:rPr>
            </w:pPr>
            <w:r>
              <w:rPr>
                <w:rFonts w:ascii="Arial" w:cs="Arial" w:eastAsia="Arial" w:hAnsi="Arial"/>
                <w:sz w:val="8"/>
                <w:szCs w:val="8"/>
                <w:b w:val="1"/>
                <w:bCs w:val="1"/>
                <w:color w:val="auto"/>
              </w:rPr>
              <w:t>Essential</w:t>
            </w: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center"/>
              <w:ind w:right="36"/>
              <w:spacing w:after="0"/>
              <w:rPr>
                <w:sz w:val="20"/>
                <w:szCs w:val="20"/>
                <w:color w:val="auto"/>
              </w:rPr>
            </w:pPr>
            <w:r>
              <w:rPr>
                <w:rFonts w:ascii="Arial" w:cs="Arial" w:eastAsia="Arial" w:hAnsi="Arial"/>
                <w:sz w:val="8"/>
                <w:szCs w:val="8"/>
                <w:b w:val="1"/>
                <w:bCs w:val="1"/>
                <w:color w:val="auto"/>
              </w:rPr>
              <w:t>Orthodontic</w:t>
            </w: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20" w:type="dxa"/>
            <w:vAlign w:val="bottom"/>
            <w:gridSpan w:val="2"/>
            <w:vMerge w:val="restart"/>
          </w:tcPr>
          <w:p>
            <w:pPr>
              <w:ind w:left="20"/>
              <w:spacing w:after="0"/>
              <w:rPr>
                <w:sz w:val="20"/>
                <w:szCs w:val="20"/>
                <w:color w:val="auto"/>
              </w:rPr>
            </w:pPr>
            <w:r>
              <w:rPr>
                <w:rFonts w:ascii="Arial" w:cs="Arial" w:eastAsia="Arial" w:hAnsi="Arial"/>
                <w:sz w:val="11"/>
                <w:szCs w:val="11"/>
                <w:color w:val="auto"/>
              </w:rPr>
              <w:t>except</w:t>
            </w: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jc w:val="center"/>
              <w:ind w:right="35"/>
              <w:spacing w:after="0"/>
              <w:rPr>
                <w:sz w:val="20"/>
                <w:szCs w:val="20"/>
                <w:color w:val="auto"/>
              </w:rPr>
            </w:pPr>
            <w:r>
              <w:rPr>
                <w:rFonts w:ascii="Arial" w:cs="Arial" w:eastAsia="Arial" w:hAnsi="Arial"/>
                <w:sz w:val="8"/>
                <w:szCs w:val="8"/>
                <w:b w:val="1"/>
                <w:bCs w:val="1"/>
                <w:color w:val="auto"/>
              </w:rPr>
              <w:t>Wellspect</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center"/>
              <w:ind w:right="36"/>
              <w:spacing w:after="0" w:line="81" w:lineRule="exact"/>
              <w:rPr>
                <w:sz w:val="20"/>
                <w:szCs w:val="20"/>
                <w:color w:val="auto"/>
              </w:rPr>
            </w:pPr>
            <w:r>
              <w:rPr>
                <w:rFonts w:ascii="Arial" w:cs="Arial" w:eastAsia="Arial" w:hAnsi="Arial"/>
                <w:sz w:val="8"/>
                <w:szCs w:val="8"/>
                <w:b w:val="1"/>
                <w:bCs w:val="1"/>
                <w:color w:val="auto"/>
              </w:rPr>
              <w:t>Technology</w:t>
            </w:r>
          </w:p>
        </w:tc>
        <w:tc>
          <w:tcPr>
            <w:tcW w:w="120" w:type="dxa"/>
            <w:vAlign w:val="bottom"/>
          </w:tcPr>
          <w:p>
            <w:pPr>
              <w:spacing w:after="0"/>
              <w:rPr>
                <w:sz w:val="7"/>
                <w:szCs w:val="7"/>
                <w:color w:val="auto"/>
              </w:rPr>
            </w:pPr>
          </w:p>
        </w:tc>
        <w:tc>
          <w:tcPr>
            <w:tcW w:w="460" w:type="dxa"/>
            <w:vAlign w:val="bottom"/>
          </w:tcPr>
          <w:p>
            <w:pPr>
              <w:jc w:val="center"/>
              <w:ind w:right="36"/>
              <w:spacing w:after="0" w:line="81" w:lineRule="exact"/>
              <w:rPr>
                <w:sz w:val="20"/>
                <w:szCs w:val="20"/>
                <w:color w:val="auto"/>
              </w:rPr>
            </w:pPr>
            <w:r>
              <w:rPr>
                <w:rFonts w:ascii="Arial" w:cs="Arial" w:eastAsia="Arial" w:hAnsi="Arial"/>
                <w:sz w:val="8"/>
                <w:szCs w:val="8"/>
                <w:b w:val="1"/>
                <w:bCs w:val="1"/>
                <w:color w:val="auto"/>
              </w:rPr>
              <w:t>Dental</w:t>
            </w:r>
          </w:p>
        </w:tc>
        <w:tc>
          <w:tcPr>
            <w:tcW w:w="120" w:type="dxa"/>
            <w:vAlign w:val="bottom"/>
          </w:tcPr>
          <w:p>
            <w:pPr>
              <w:spacing w:after="0"/>
              <w:rPr>
                <w:sz w:val="7"/>
                <w:szCs w:val="7"/>
                <w:color w:val="auto"/>
              </w:rPr>
            </w:pPr>
          </w:p>
        </w:tc>
        <w:tc>
          <w:tcPr>
            <w:tcW w:w="540" w:type="dxa"/>
            <w:vAlign w:val="bottom"/>
          </w:tcPr>
          <w:p>
            <w:pPr>
              <w:jc w:val="center"/>
              <w:ind w:right="36"/>
              <w:spacing w:after="0" w:line="81" w:lineRule="exact"/>
              <w:rPr>
                <w:sz w:val="20"/>
                <w:szCs w:val="20"/>
                <w:color w:val="auto"/>
              </w:rPr>
            </w:pPr>
            <w:r>
              <w:rPr>
                <w:rFonts w:ascii="Arial" w:cs="Arial" w:eastAsia="Arial" w:hAnsi="Arial"/>
                <w:sz w:val="8"/>
                <w:szCs w:val="8"/>
                <w:b w:val="1"/>
                <w:bCs w:val="1"/>
                <w:color w:val="auto"/>
              </w:rPr>
              <w:t>and Implant</w:t>
            </w: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restart"/>
          </w:tcPr>
          <w:p>
            <w:pPr>
              <w:jc w:val="right"/>
              <w:ind w:right="93"/>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22"/>
        </w:trPr>
        <w:tc>
          <w:tcPr>
            <w:tcW w:w="920" w:type="dxa"/>
            <w:vAlign w:val="bottom"/>
            <w:tcBorders>
              <w:bottom w:val="single" w:sz="8" w:color="auto"/>
            </w:tcBorders>
          </w:tcPr>
          <w:p>
            <w:pPr>
              <w:ind w:left="20"/>
              <w:spacing w:after="0" w:line="122" w:lineRule="exact"/>
              <w:rPr>
                <w:sz w:val="20"/>
                <w:szCs w:val="20"/>
                <w:color w:val="auto"/>
              </w:rPr>
            </w:pPr>
            <w:r>
              <w:rPr>
                <w:rFonts w:ascii="Arial" w:cs="Arial" w:eastAsia="Arial" w:hAnsi="Arial"/>
                <w:sz w:val="11"/>
                <w:szCs w:val="11"/>
                <w:color w:val="auto"/>
              </w:rPr>
              <w:t>percentages)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6"/>
              <w:spacing w:after="0"/>
              <w:rPr>
                <w:sz w:val="20"/>
                <w:szCs w:val="20"/>
                <w:color w:val="auto"/>
              </w:rPr>
            </w:pPr>
            <w:r>
              <w:rPr>
                <w:rFonts w:ascii="Arial" w:cs="Arial" w:eastAsia="Arial" w:hAnsi="Arial"/>
                <w:sz w:val="8"/>
                <w:szCs w:val="8"/>
                <w:b w:val="1"/>
                <w:bCs w:val="1"/>
                <w:color w:val="auto"/>
              </w:rPr>
              <w:t>Solutions</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8"/>
                <w:szCs w:val="8"/>
                <w:b w:val="1"/>
                <w:bCs w:val="1"/>
                <w:color w:val="auto"/>
              </w:rPr>
              <w:t>Solutions</w:t>
            </w: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6"/>
              <w:spacing w:after="0"/>
              <w:rPr>
                <w:sz w:val="20"/>
                <w:szCs w:val="20"/>
                <w:color w:val="auto"/>
              </w:rPr>
            </w:pPr>
            <w:r>
              <w:rPr>
                <w:rFonts w:ascii="Arial" w:cs="Arial" w:eastAsia="Arial" w:hAnsi="Arial"/>
                <w:sz w:val="8"/>
                <w:szCs w:val="8"/>
                <w:b w:val="1"/>
                <w:bCs w:val="1"/>
                <w:color w:val="auto"/>
              </w:rPr>
              <w:t>Solutions</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5"/>
              <w:spacing w:after="0"/>
              <w:rPr>
                <w:sz w:val="20"/>
                <w:szCs w:val="20"/>
                <w:color w:val="auto"/>
              </w:rPr>
            </w:pPr>
            <w:r>
              <w:rPr>
                <w:rFonts w:ascii="Arial" w:cs="Arial" w:eastAsia="Arial" w:hAnsi="Arial"/>
                <w:sz w:val="8"/>
                <w:szCs w:val="8"/>
                <w:b w:val="1"/>
                <w:bCs w:val="1"/>
                <w:color w:val="auto"/>
              </w:rPr>
              <w:t>Healthcare</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235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217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13"/>
              <w:spacing w:after="0"/>
              <w:rPr>
                <w:sz w:val="20"/>
                <w:szCs w:val="20"/>
                <w:color w:val="auto"/>
              </w:rPr>
            </w:pPr>
            <w:r>
              <w:rPr>
                <w:rFonts w:ascii="Arial" w:cs="Arial" w:eastAsia="Arial" w:hAnsi="Arial"/>
                <w:sz w:val="11"/>
                <w:szCs w:val="11"/>
                <w:color w:val="auto"/>
              </w:rPr>
              <w:t>879</w:t>
            </w:r>
          </w:p>
        </w:tc>
        <w:tc>
          <w:tcPr>
            <w:tcW w:w="0" w:type="dxa"/>
            <w:vAlign w:val="bottom"/>
          </w:tcPr>
          <w:p>
            <w:pPr>
              <w:spacing w:after="0"/>
              <w:rPr>
                <w:sz w:val="1"/>
                <w:szCs w:val="1"/>
                <w:color w:val="auto"/>
              </w:rPr>
            </w:pPr>
          </w:p>
        </w:tc>
      </w:tr>
      <w:tr>
        <w:trPr>
          <w:trHeight w:val="122"/>
        </w:trPr>
        <w:tc>
          <w:tcPr>
            <w:tcW w:w="102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Foreign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exchange</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20" w:type="dxa"/>
            <w:vAlign w:val="bottom"/>
            <w:gridSpan w:val="2"/>
          </w:tcPr>
          <w:p>
            <w:pPr>
              <w:ind w:left="140"/>
              <w:spacing w:after="0"/>
              <w:rPr>
                <w:sz w:val="20"/>
                <w:szCs w:val="20"/>
                <w:color w:val="auto"/>
              </w:rPr>
            </w:pPr>
            <w:r>
              <w:rPr>
                <w:rFonts w:ascii="Arial" w:cs="Arial" w:eastAsia="Arial" w:hAnsi="Arial"/>
                <w:sz w:val="11"/>
                <w:szCs w:val="11"/>
                <w:color w:val="auto"/>
              </w:rPr>
              <w:t>impact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Organic sales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8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1"/>
                <w:szCs w:val="11"/>
                <w:b w:val="1"/>
                <w:bCs w:val="1"/>
                <w:color w:val="auto"/>
              </w:rPr>
              <w:t>Q1 2025 Change</w:t>
            </w: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7"/>
          </w:tcPr>
          <w:p>
            <w:pPr>
              <w:jc w:val="right"/>
              <w:ind w:right="75"/>
              <w:spacing w:after="0"/>
              <w:rPr>
                <w:sz w:val="20"/>
                <w:szCs w:val="20"/>
                <w:color w:val="auto"/>
              </w:rPr>
            </w:pPr>
            <w:r>
              <w:rPr>
                <w:rFonts w:ascii="Arial" w:cs="Arial" w:eastAsia="Arial" w:hAnsi="Arial"/>
                <w:sz w:val="11"/>
                <w:szCs w:val="11"/>
                <w:b w:val="1"/>
                <w:bCs w:val="1"/>
                <w:color w:val="auto"/>
              </w:rPr>
              <w:t>Three Months Ended March 31, 2024</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8"/>
              </w:rPr>
              <w:t>Connected</w:t>
            </w:r>
          </w:p>
        </w:tc>
        <w:tc>
          <w:tcPr>
            <w:tcW w:w="780" w:type="dxa"/>
            <w:vAlign w:val="bottom"/>
            <w:vMerge w:val="restart"/>
          </w:tcPr>
          <w:p>
            <w:pPr>
              <w:jc w:val="right"/>
              <w:ind w:right="9"/>
              <w:spacing w:after="0"/>
              <w:rPr>
                <w:sz w:val="20"/>
                <w:szCs w:val="20"/>
                <w:color w:val="auto"/>
              </w:rPr>
            </w:pPr>
            <w:r>
              <w:rPr>
                <w:rFonts w:ascii="Arial" w:cs="Arial" w:eastAsia="Arial" w:hAnsi="Arial"/>
                <w:sz w:val="9"/>
                <w:szCs w:val="9"/>
                <w:b w:val="1"/>
                <w:bCs w:val="1"/>
                <w:color w:val="auto"/>
              </w:rPr>
              <w:t>Essential Dental</w:t>
            </w:r>
          </w:p>
        </w:tc>
        <w:tc>
          <w:tcPr>
            <w:tcW w:w="920" w:type="dxa"/>
            <w:vAlign w:val="bottom"/>
            <w:vMerge w:val="restart"/>
          </w:tcPr>
          <w:p>
            <w:pPr>
              <w:jc w:val="right"/>
              <w:ind w:right="110"/>
              <w:spacing w:after="0"/>
              <w:rPr>
                <w:sz w:val="20"/>
                <w:szCs w:val="20"/>
                <w:color w:val="auto"/>
              </w:rPr>
            </w:pPr>
            <w:r>
              <w:rPr>
                <w:rFonts w:ascii="Arial" w:cs="Arial" w:eastAsia="Arial" w:hAnsi="Arial"/>
                <w:sz w:val="9"/>
                <w:szCs w:val="9"/>
                <w:b w:val="1"/>
                <w:bCs w:val="1"/>
                <w:color w:val="auto"/>
              </w:rPr>
              <w:t>Orthodontic and</w:t>
            </w:r>
          </w:p>
        </w:tc>
        <w:tc>
          <w:tcPr>
            <w:tcW w:w="82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Wellspect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Arial" w:cs="Arial" w:eastAsia="Arial" w:hAnsi="Arial"/>
                <w:sz w:val="8"/>
                <w:szCs w:val="8"/>
                <w:b w:val="1"/>
                <w:bCs w:val="1"/>
                <w:color w:val="auto"/>
              </w:rPr>
              <w:t>Connected</w:t>
            </w:r>
          </w:p>
        </w:tc>
        <w:tc>
          <w:tcPr>
            <w:tcW w:w="100" w:type="dxa"/>
            <w:vAlign w:val="bottom"/>
          </w:tcPr>
          <w:p>
            <w:pPr>
              <w:spacing w:after="0"/>
              <w:rPr>
                <w:sz w:val="14"/>
                <w:szCs w:val="14"/>
                <w:color w:val="auto"/>
              </w:rPr>
            </w:pPr>
          </w:p>
        </w:tc>
        <w:tc>
          <w:tcPr>
            <w:tcW w:w="500" w:type="dxa"/>
            <w:vAlign w:val="bottom"/>
          </w:tcPr>
          <w:p>
            <w:pPr>
              <w:jc w:val="center"/>
              <w:ind w:right="16"/>
              <w:spacing w:after="0"/>
              <w:rPr>
                <w:sz w:val="20"/>
                <w:szCs w:val="20"/>
                <w:color w:val="auto"/>
              </w:rPr>
            </w:pPr>
            <w:r>
              <w:rPr>
                <w:rFonts w:ascii="Arial" w:cs="Arial" w:eastAsia="Arial" w:hAnsi="Arial"/>
                <w:sz w:val="8"/>
                <w:szCs w:val="8"/>
                <w:b w:val="1"/>
                <w:bCs w:val="1"/>
                <w:color w:val="auto"/>
              </w:rPr>
              <w:t>Essential</w:t>
            </w: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Orthodontic and</w:t>
            </w:r>
          </w:p>
        </w:tc>
        <w:tc>
          <w:tcPr>
            <w:tcW w:w="80" w:type="dxa"/>
            <w:vAlign w:val="bottom"/>
          </w:tcPr>
          <w:p>
            <w:pPr>
              <w:spacing w:after="0"/>
              <w:rPr>
                <w:sz w:val="14"/>
                <w:szCs w:val="14"/>
                <w:color w:val="auto"/>
              </w:rPr>
            </w:pPr>
          </w:p>
        </w:tc>
        <w:tc>
          <w:tcPr>
            <w:tcW w:w="520" w:type="dxa"/>
            <w:vAlign w:val="bottom"/>
            <w:vMerge w:val="restart"/>
          </w:tcPr>
          <w:p>
            <w:pPr>
              <w:jc w:val="center"/>
              <w:ind w:right="15"/>
              <w:spacing w:after="0"/>
              <w:rPr>
                <w:sz w:val="20"/>
                <w:szCs w:val="20"/>
                <w:color w:val="auto"/>
              </w:rPr>
            </w:pPr>
            <w:r>
              <w:rPr>
                <w:rFonts w:ascii="Arial" w:cs="Arial" w:eastAsia="Arial" w:hAnsi="Arial"/>
                <w:sz w:val="8"/>
                <w:szCs w:val="8"/>
                <w:b w:val="1"/>
                <w:bCs w:val="1"/>
                <w:color w:val="auto"/>
              </w:rPr>
              <w:t>Wellspect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6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8"/>
              </w:rPr>
              <w:t>Technology</w:t>
            </w:r>
          </w:p>
        </w:tc>
        <w:tc>
          <w:tcPr>
            <w:tcW w:w="7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Total</w:t>
            </w:r>
          </w:p>
        </w:tc>
        <w:tc>
          <w:tcPr>
            <w:tcW w:w="10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tcPr>
          <w:p>
            <w:pPr>
              <w:jc w:val="center"/>
              <w:ind w:right="54"/>
              <w:spacing w:after="0" w:line="81" w:lineRule="exact"/>
              <w:rPr>
                <w:sz w:val="20"/>
                <w:szCs w:val="20"/>
                <w:color w:val="auto"/>
              </w:rPr>
            </w:pPr>
            <w:r>
              <w:rPr>
                <w:rFonts w:ascii="Arial" w:cs="Arial" w:eastAsia="Arial" w:hAnsi="Arial"/>
                <w:sz w:val="8"/>
                <w:szCs w:val="8"/>
                <w:b w:val="1"/>
                <w:bCs w:val="1"/>
                <w:color w:val="auto"/>
                <w:w w:val="97"/>
              </w:rPr>
              <w:t>Technology</w:t>
            </w:r>
          </w:p>
        </w:tc>
        <w:tc>
          <w:tcPr>
            <w:tcW w:w="100" w:type="dxa"/>
            <w:vAlign w:val="bottom"/>
          </w:tcPr>
          <w:p>
            <w:pPr>
              <w:spacing w:after="0"/>
              <w:rPr>
                <w:sz w:val="7"/>
                <w:szCs w:val="7"/>
                <w:color w:val="auto"/>
              </w:rPr>
            </w:pPr>
          </w:p>
        </w:tc>
        <w:tc>
          <w:tcPr>
            <w:tcW w:w="500" w:type="dxa"/>
            <w:vAlign w:val="bottom"/>
          </w:tcPr>
          <w:p>
            <w:pPr>
              <w:jc w:val="center"/>
              <w:ind w:right="36"/>
              <w:spacing w:after="0" w:line="81" w:lineRule="exact"/>
              <w:rPr>
                <w:sz w:val="20"/>
                <w:szCs w:val="20"/>
                <w:color w:val="auto"/>
              </w:rPr>
            </w:pPr>
            <w:r>
              <w:rPr>
                <w:rFonts w:ascii="Arial" w:cs="Arial" w:eastAsia="Arial" w:hAnsi="Arial"/>
                <w:sz w:val="8"/>
                <w:szCs w:val="8"/>
                <w:b w:val="1"/>
                <w:bCs w:val="1"/>
                <w:color w:val="auto"/>
              </w:rPr>
              <w:t>Dental</w:t>
            </w: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vMerge w:val="restart"/>
          </w:tcPr>
          <w:p>
            <w:pPr>
              <w:jc w:val="right"/>
              <w:ind w:right="113"/>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2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Solutions</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9"/>
                <w:szCs w:val="9"/>
                <w:b w:val="1"/>
                <w:bCs w:val="1"/>
                <w:color w:val="auto"/>
              </w:rPr>
              <w:t>Solutions</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9"/>
                <w:szCs w:val="9"/>
                <w:b w:val="1"/>
                <w:bCs w:val="1"/>
                <w:color w:val="auto"/>
              </w:rPr>
              <w:t>Implant Solutions</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9"/>
                <w:szCs w:val="9"/>
                <w:b w:val="1"/>
                <w:bCs w:val="1"/>
                <w:color w:val="auto"/>
              </w:rPr>
              <w:t>Healthcare</w:t>
            </w:r>
          </w:p>
        </w:tc>
        <w:tc>
          <w:tcPr>
            <w:tcW w:w="4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8"/>
                <w:szCs w:val="8"/>
                <w:b w:val="1"/>
                <w:bCs w:val="1"/>
                <w:color w:val="auto"/>
                <w:w w:val="98"/>
              </w:rPr>
              <w:t>Solutions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8"/>
                <w:szCs w:val="8"/>
                <w:b w:val="1"/>
                <w:bCs w:val="1"/>
                <w:color w:val="auto"/>
              </w:rPr>
              <w:t>Solutions</w:t>
            </w: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Implant Solutions</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5"/>
              <w:spacing w:after="0"/>
              <w:rPr>
                <w:sz w:val="20"/>
                <w:szCs w:val="20"/>
                <w:color w:val="auto"/>
              </w:rPr>
            </w:pPr>
            <w:r>
              <w:rPr>
                <w:rFonts w:ascii="Arial" w:cs="Arial" w:eastAsia="Arial" w:hAnsi="Arial"/>
                <w:sz w:val="8"/>
                <w:szCs w:val="8"/>
                <w:b w:val="1"/>
                <w:bCs w:val="1"/>
                <w:color w:val="auto"/>
              </w:rPr>
              <w:t>Healthcare</w:t>
            </w: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860" w:type="dxa"/>
            <w:vAlign w:val="bottom"/>
          </w:tcPr>
          <w:p>
            <w:pPr>
              <w:jc w:val="right"/>
              <w:spacing w:after="0"/>
              <w:rPr>
                <w:sz w:val="20"/>
                <w:szCs w:val="20"/>
                <w:color w:val="auto"/>
              </w:rPr>
            </w:pPr>
            <w:r>
              <w:rPr>
                <w:rFonts w:ascii="Arial" w:cs="Arial" w:eastAsia="Arial" w:hAnsi="Arial"/>
                <w:sz w:val="11"/>
                <w:szCs w:val="11"/>
                <w:color w:val="auto"/>
              </w:rPr>
              <w:t>(4.7 %)</w:t>
            </w:r>
          </w:p>
        </w:tc>
        <w:tc>
          <w:tcPr>
            <w:tcW w:w="780" w:type="dxa"/>
            <w:vAlign w:val="bottom"/>
          </w:tcPr>
          <w:p>
            <w:pPr>
              <w:jc w:val="right"/>
              <w:ind w:right="9"/>
              <w:spacing w:after="0"/>
              <w:rPr>
                <w:sz w:val="20"/>
                <w:szCs w:val="20"/>
                <w:color w:val="auto"/>
              </w:rPr>
            </w:pPr>
            <w:r>
              <w:rPr>
                <w:rFonts w:ascii="Arial" w:cs="Arial" w:eastAsia="Arial" w:hAnsi="Arial"/>
                <w:sz w:val="11"/>
                <w:szCs w:val="11"/>
                <w:color w:val="auto"/>
              </w:rPr>
              <w:t>(2.7 %)</w:t>
            </w:r>
          </w:p>
        </w:tc>
        <w:tc>
          <w:tcPr>
            <w:tcW w:w="920" w:type="dxa"/>
            <w:vAlign w:val="bottom"/>
          </w:tcPr>
          <w:p>
            <w:pPr>
              <w:jc w:val="right"/>
              <w:ind w:right="50"/>
              <w:spacing w:after="0"/>
              <w:rPr>
                <w:sz w:val="20"/>
                <w:szCs w:val="20"/>
                <w:color w:val="auto"/>
              </w:rPr>
            </w:pPr>
            <w:r>
              <w:rPr>
                <w:rFonts w:ascii="Arial" w:cs="Arial" w:eastAsia="Arial" w:hAnsi="Arial"/>
                <w:sz w:val="11"/>
                <w:szCs w:val="11"/>
                <w:color w:val="auto"/>
              </w:rPr>
              <w:t>(20.0 %)</w:t>
            </w:r>
          </w:p>
        </w:tc>
        <w:tc>
          <w:tcPr>
            <w:tcW w:w="820" w:type="dxa"/>
            <w:vAlign w:val="bottom"/>
          </w:tcPr>
          <w:p>
            <w:pPr>
              <w:jc w:val="right"/>
              <w:ind w:right="90"/>
              <w:spacing w:after="0"/>
              <w:rPr>
                <w:sz w:val="20"/>
                <w:szCs w:val="20"/>
                <w:color w:val="auto"/>
              </w:rPr>
            </w:pPr>
            <w:r>
              <w:rPr>
                <w:rFonts w:ascii="Arial" w:cs="Arial" w:eastAsia="Arial" w:hAnsi="Arial"/>
                <w:sz w:val="11"/>
                <w:szCs w:val="11"/>
                <w:color w:val="auto"/>
              </w:rPr>
              <w:t>3.4 %</w:t>
            </w:r>
          </w:p>
        </w:tc>
        <w:tc>
          <w:tcPr>
            <w:tcW w:w="680" w:type="dxa"/>
            <w:vAlign w:val="bottom"/>
            <w:gridSpan w:val="3"/>
          </w:tcPr>
          <w:p>
            <w:pPr>
              <w:ind w:left="100"/>
              <w:spacing w:after="0"/>
              <w:rPr>
                <w:sz w:val="20"/>
                <w:szCs w:val="20"/>
                <w:color w:val="auto"/>
              </w:rPr>
            </w:pPr>
            <w:r>
              <w:rPr>
                <w:rFonts w:ascii="Arial" w:cs="Arial" w:eastAsia="Arial" w:hAnsi="Arial"/>
                <w:sz w:val="11"/>
                <w:szCs w:val="11"/>
                <w:color w:val="auto"/>
              </w:rPr>
              <w:t>(7.7 %)   $</w:t>
            </w:r>
          </w:p>
        </w:tc>
        <w:tc>
          <w:tcPr>
            <w:tcW w:w="620" w:type="dxa"/>
            <w:vAlign w:val="bottom"/>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364</w:t>
            </w:r>
          </w:p>
        </w:tc>
        <w:tc>
          <w:tcPr>
            <w:tcW w:w="300" w:type="dxa"/>
            <w:vAlign w:val="bottom"/>
          </w:tcPr>
          <w:p>
            <w:pPr>
              <w:ind w:left="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271</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13"/>
              <w:spacing w:after="0"/>
              <w:rPr>
                <w:sz w:val="20"/>
                <w:szCs w:val="20"/>
                <w:color w:val="auto"/>
              </w:rPr>
            </w:pPr>
            <w:r>
              <w:rPr>
                <w:rFonts w:ascii="Arial" w:cs="Arial" w:eastAsia="Arial" w:hAnsi="Arial"/>
                <w:sz w:val="11"/>
                <w:szCs w:val="11"/>
                <w:color w:val="auto"/>
              </w:rPr>
              <w:t>953</w:t>
            </w:r>
          </w:p>
        </w:tc>
        <w:tc>
          <w:tcPr>
            <w:tcW w:w="0" w:type="dxa"/>
            <w:vAlign w:val="bottom"/>
          </w:tcPr>
          <w:p>
            <w:pPr>
              <w:spacing w:after="0"/>
              <w:rPr>
                <w:sz w:val="1"/>
                <w:szCs w:val="1"/>
                <w:color w:val="auto"/>
              </w:rPr>
            </w:pPr>
          </w:p>
        </w:tc>
      </w:tr>
      <w:tr>
        <w:trPr>
          <w:trHeight w:val="391"/>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(4.2 %)</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(3.1 %)</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(2.3 %)</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(4.6 %)</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(3.3 %)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(0.5 %)</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0.4 %</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(17.7 %)</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8.0 %</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(4.4 %)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-487680</wp:posOffset>
            </wp:positionV>
            <wp:extent cx="713232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-144780</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2">
            <w:col w:w="4000" w:space="80"/>
            <w:col w:w="7160"/>
          </w:cols>
          <w:pgMar w:left="320" w:top="93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adjusted operating income for the three months ended March 31, 2025 and 2024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color w:val="auto"/>
              </w:rPr>
              <w:t>Three Months Ended March 31,</w:t>
            </w:r>
          </w:p>
        </w:tc>
      </w:tr>
      <w:tr>
        <w:trPr>
          <w:trHeight w:val="198"/>
        </w:trPr>
        <w:tc>
          <w:tcPr>
            <w:tcW w:w="80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2024</w:t>
            </w:r>
          </w:p>
        </w:tc>
      </w:tr>
      <w:tr>
        <w:trPr>
          <w:trHeight w:val="92"/>
        </w:trPr>
        <w:tc>
          <w:tcPr>
            <w:tcW w:w="7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r>
      <w:tr>
        <w:trPr>
          <w:trHeight w:val="203"/>
        </w:trPr>
        <w:tc>
          <w:tcPr>
            <w:tcW w:w="8080" w:type="dxa"/>
            <w:vAlign w:val="bottom"/>
            <w:gridSpan w:val="2"/>
            <w:shd w:val="clear" w:color="auto" w:fill="CDFFCC"/>
          </w:tcPr>
          <w:p>
            <w:pPr>
              <w:ind w:left="20"/>
              <w:spacing w:after="0"/>
              <w:rPr>
                <w:sz w:val="20"/>
                <w:szCs w:val="20"/>
                <w:color w:val="auto"/>
              </w:rPr>
            </w:pPr>
            <w:r>
              <w:rPr>
                <w:rFonts w:ascii="Arial" w:cs="Arial" w:eastAsia="Arial" w:hAnsi="Arial"/>
                <w:sz w:val="14"/>
                <w:szCs w:val="14"/>
                <w:color w:val="auto"/>
              </w:rPr>
              <w:t>Connected Technology Solutions</w:t>
            </w:r>
          </w:p>
        </w:tc>
        <w:tc>
          <w:tcPr>
            <w:tcW w:w="34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8080" w:type="dxa"/>
            <w:vAlign w:val="bottom"/>
            <w:gridSpan w:val="2"/>
          </w:tcPr>
          <w:p>
            <w:pPr>
              <w:ind w:left="20"/>
              <w:spacing w:after="0"/>
              <w:rPr>
                <w:sz w:val="20"/>
                <w:szCs w:val="20"/>
                <w:color w:val="auto"/>
              </w:rPr>
            </w:pPr>
            <w:r>
              <w:rPr>
                <w:rFonts w:ascii="Arial" w:cs="Arial" w:eastAsia="Arial" w:hAnsi="Arial"/>
                <w:sz w:val="14"/>
                <w:szCs w:val="14"/>
                <w:color w:val="auto"/>
              </w:rPr>
              <w:t>Essential Dental Solutions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7"/>
        </w:trPr>
        <w:tc>
          <w:tcPr>
            <w:tcW w:w="8080" w:type="dxa"/>
            <w:vAlign w:val="bottom"/>
            <w:gridSpan w:val="2"/>
            <w:shd w:val="clear" w:color="auto" w:fill="CDFFCC"/>
          </w:tcPr>
          <w:p>
            <w:pPr>
              <w:ind w:left="20"/>
              <w:spacing w:after="0"/>
              <w:rPr>
                <w:sz w:val="20"/>
                <w:szCs w:val="20"/>
                <w:color w:val="auto"/>
              </w:rPr>
            </w:pPr>
            <w:r>
              <w:rPr>
                <w:rFonts w:ascii="Arial" w:cs="Arial" w:eastAsia="Arial" w:hAnsi="Arial"/>
                <w:sz w:val="14"/>
                <w:szCs w:val="14"/>
                <w:color w:val="auto"/>
              </w:rPr>
              <w:t>Orthodontic and Implant Solutions</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8080" w:type="dxa"/>
            <w:vAlign w:val="bottom"/>
            <w:tcBorders>
              <w:bottom w:val="single" w:sz="8" w:color="CDFFCC"/>
            </w:tcBorders>
            <w:gridSpan w:val="2"/>
          </w:tcPr>
          <w:p>
            <w:pPr>
              <w:ind w:left="20"/>
              <w:spacing w:after="0"/>
              <w:rPr>
                <w:sz w:val="20"/>
                <w:szCs w:val="20"/>
                <w:color w:val="auto"/>
              </w:rPr>
            </w:pPr>
            <w:r>
              <w:rPr>
                <w:rFonts w:ascii="Arial" w:cs="Arial" w:eastAsia="Arial" w:hAnsi="Arial"/>
                <w:sz w:val="14"/>
                <w:szCs w:val="14"/>
                <w:color w:val="auto"/>
              </w:rPr>
              <w:t>Wellspect Healthcare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DFFC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8080" w:type="dxa"/>
            <w:vAlign w:val="bottom"/>
            <w:gridSpan w:val="2"/>
            <w:shd w:val="clear" w:color="auto" w:fill="CDFFCC"/>
          </w:tcPr>
          <w:p>
            <w:pPr>
              <w:ind w:left="140"/>
              <w:spacing w:after="0"/>
              <w:rPr>
                <w:sz w:val="20"/>
                <w:szCs w:val="20"/>
                <w:color w:val="auto"/>
              </w:rPr>
            </w:pPr>
            <w:r>
              <w:rPr>
                <w:rFonts w:ascii="Arial" w:cs="Arial" w:eastAsia="Arial" w:hAnsi="Arial"/>
                <w:sz w:val="14"/>
                <w:szCs w:val="14"/>
                <w:color w:val="auto"/>
              </w:rPr>
              <w:t>Segment adjusted operating income</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182</w:t>
            </w:r>
          </w:p>
        </w:tc>
      </w:tr>
      <w:tr>
        <w:trPr>
          <w:trHeight w:val="270"/>
        </w:trPr>
        <w:tc>
          <w:tcPr>
            <w:tcW w:w="7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3"/>
        </w:trPr>
        <w:tc>
          <w:tcPr>
            <w:tcW w:w="8080" w:type="dxa"/>
            <w:vAlign w:val="bottom"/>
            <w:gridSpan w:val="2"/>
            <w:shd w:val="clear" w:color="auto" w:fill="CDFFCC"/>
          </w:tcPr>
          <w:p>
            <w:pPr>
              <w:ind w:left="20"/>
              <w:spacing w:after="0"/>
              <w:rPr>
                <w:sz w:val="20"/>
                <w:szCs w:val="20"/>
                <w:color w:val="auto"/>
              </w:rPr>
            </w:pPr>
            <w:r>
              <w:rPr>
                <w:rFonts w:ascii="Arial" w:cs="Arial" w:eastAsia="Arial" w:hAnsi="Arial"/>
                <w:sz w:val="14"/>
                <w:szCs w:val="14"/>
                <w:b w:val="1"/>
                <w:bCs w:val="1"/>
                <w:color w:val="auto"/>
              </w:rPr>
              <w:t>Reconciling items expense (income):</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spacing w:after="0"/>
              <w:rPr>
                <w:sz w:val="17"/>
                <w:szCs w:val="17"/>
                <w:color w:val="auto"/>
              </w:rPr>
            </w:pP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spacing w:after="0"/>
              <w:rPr>
                <w:sz w:val="17"/>
                <w:szCs w:val="17"/>
                <w:color w:val="auto"/>
              </w:rPr>
            </w:pPr>
          </w:p>
        </w:tc>
      </w:tr>
      <w:tr>
        <w:trPr>
          <w:trHeight w:val="198"/>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All other (a)</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6"/>
        </w:trPr>
        <w:tc>
          <w:tcPr>
            <w:tcW w:w="8080" w:type="dxa"/>
            <w:vAlign w:val="bottom"/>
            <w:gridSpan w:val="2"/>
            <w:shd w:val="clear" w:color="auto" w:fill="CDFFCC"/>
          </w:tcPr>
          <w:p>
            <w:pPr>
              <w:ind w:left="140"/>
              <w:spacing w:after="0"/>
              <w:rPr>
                <w:sz w:val="20"/>
                <w:szCs w:val="20"/>
                <w:color w:val="auto"/>
              </w:rPr>
            </w:pPr>
            <w:r>
              <w:rPr>
                <w:rFonts w:ascii="Arial" w:cs="Arial" w:eastAsia="Arial" w:hAnsi="Arial"/>
                <w:sz w:val="14"/>
                <w:szCs w:val="14"/>
                <w:color w:val="auto"/>
              </w:rPr>
              <w:t>Intangible asset impairments</w:t>
            </w:r>
          </w:p>
        </w:tc>
        <w:tc>
          <w:tcPr>
            <w:tcW w:w="340" w:type="dxa"/>
            <w:vAlign w:val="bottom"/>
            <w:shd w:val="clear" w:color="auto" w:fill="CDFFCC"/>
          </w:tcPr>
          <w:p>
            <w:pPr>
              <w:spacing w:after="0"/>
              <w:rPr>
                <w:sz w:val="17"/>
                <w:szCs w:val="17"/>
                <w:color w:val="auto"/>
              </w:rPr>
            </w:pPr>
          </w:p>
        </w:tc>
        <w:tc>
          <w:tcPr>
            <w:tcW w:w="1300" w:type="dxa"/>
            <w:vAlign w:val="bottom"/>
            <w:gridSpan w:val="2"/>
            <w:shd w:val="clear" w:color="auto" w:fill="CDFFC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Restructuring and other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6"/>
        </w:trPr>
        <w:tc>
          <w:tcPr>
            <w:tcW w:w="8080" w:type="dxa"/>
            <w:vAlign w:val="bottom"/>
            <w:gridSpan w:val="2"/>
            <w:shd w:val="clear" w:color="auto" w:fill="CDFFCC"/>
          </w:tcPr>
          <w:p>
            <w:pPr>
              <w:ind w:left="140"/>
              <w:spacing w:after="0"/>
              <w:rPr>
                <w:sz w:val="20"/>
                <w:szCs w:val="20"/>
                <w:color w:val="auto"/>
              </w:rPr>
            </w:pPr>
            <w:r>
              <w:rPr>
                <w:rFonts w:ascii="Arial" w:cs="Arial" w:eastAsia="Arial" w:hAnsi="Arial"/>
                <w:sz w:val="14"/>
                <w:szCs w:val="14"/>
                <w:color w:val="auto"/>
              </w:rPr>
              <w:t>Interest expense, net</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6"/>
        </w:trPr>
        <w:tc>
          <w:tcPr>
            <w:tcW w:w="8080" w:type="dxa"/>
            <w:vAlign w:val="bottom"/>
            <w:gridSpan w:val="2"/>
            <w:shd w:val="clear" w:color="auto" w:fill="CDFFCC"/>
          </w:tcPr>
          <w:p>
            <w:pPr>
              <w:ind w:left="14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DFFCC"/>
          </w:tcPr>
          <w:p>
            <w:pPr>
              <w:spacing w:after="0"/>
              <w:rPr>
                <w:sz w:val="17"/>
                <w:szCs w:val="17"/>
                <w:color w:val="auto"/>
              </w:rPr>
            </w:pPr>
          </w:p>
        </w:tc>
        <w:tc>
          <w:tcPr>
            <w:tcW w:w="340" w:type="dxa"/>
            <w:vAlign w:val="bottom"/>
            <w:shd w:val="clear" w:color="auto" w:fill="CDFFCC"/>
          </w:tcPr>
          <w:p>
            <w:pPr>
              <w:spacing w:after="0"/>
              <w:rPr>
                <w:sz w:val="17"/>
                <w:szCs w:val="17"/>
                <w:color w:val="auto"/>
              </w:rPr>
            </w:pPr>
          </w:p>
        </w:tc>
        <w:tc>
          <w:tcPr>
            <w:tcW w:w="11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8080" w:type="dxa"/>
            <w:vAlign w:val="bottom"/>
            <w:tcBorders>
              <w:bottom w:val="single" w:sz="8" w:color="CDFFCC"/>
            </w:tcBorders>
            <w:gridSpan w:val="2"/>
          </w:tcPr>
          <w:p>
            <w:pPr>
              <w:ind w:left="140"/>
              <w:spacing w:after="0"/>
              <w:rPr>
                <w:sz w:val="20"/>
                <w:szCs w:val="20"/>
                <w:color w:val="auto"/>
              </w:rPr>
            </w:pPr>
            <w:r>
              <w:rPr>
                <w:rFonts w:ascii="Arial" w:cs="Arial" w:eastAsia="Arial" w:hAnsi="Arial"/>
                <w:sz w:val="14"/>
                <w:szCs w:val="14"/>
                <w:color w:val="auto"/>
              </w:rPr>
              <w:t>Depreciation resulting from the fair value step-up of property, plant, and equipment from business combinations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DFFC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8080" w:type="dxa"/>
            <w:vAlign w:val="bottom"/>
            <w:tcBorders>
              <w:bottom w:val="single" w:sz="8" w:color="CDFFCC"/>
            </w:tcBorders>
            <w:gridSpan w:val="2"/>
            <w:shd w:val="clear" w:color="auto" w:fill="CDFFCC"/>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shd w:val="clear" w:color="auto" w:fill="CDFFC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DFFCC"/>
            </w:tcBorders>
            <w:shd w:val="clear" w:color="auto" w:fill="CDFFCC"/>
          </w:tcPr>
          <w:p>
            <w:pPr>
              <w:spacing w:after="0"/>
              <w:rPr>
                <w:sz w:val="19"/>
                <w:szCs w:val="19"/>
                <w:color w:val="auto"/>
              </w:rPr>
            </w:pPr>
          </w:p>
        </w:tc>
        <w:tc>
          <w:tcPr>
            <w:tcW w:w="340" w:type="dxa"/>
            <w:vAlign w:val="bottom"/>
            <w:tcBorders>
              <w:bottom w:val="single" w:sz="8" w:color="auto"/>
            </w:tcBorders>
            <w:shd w:val="clear" w:color="auto" w:fill="CDFFC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798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80" w:type="dxa"/>
            <w:vAlign w:val="bottom"/>
            <w:tcBorders>
              <w:top w:val="single" w:sz="8" w:color="CDFFCC"/>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 Includes unassigned corporate headquarters costs.</w:t>
      </w:r>
    </w:p>
    <w:p>
      <w:pPr>
        <w:sectPr>
          <w:pgSz w:w="11900" w:h="16838" w:orient="portrait"/>
          <w:cols w:equalWidth="0" w:num="1">
            <w:col w:w="11240"/>
          </w:cols>
          <w:pgMar w:left="320" w:top="931" w:right="339" w:bottom="1440" w:gutter="0" w:footer="0" w:header="0"/>
        </w:sectPr>
      </w:pPr>
    </w:p>
    <w:bookmarkStart w:id="15" w:name="page16"/>
    <w:bookmarkEnd w:id="15"/>
    <w:p>
      <w:pPr>
        <w:ind w:left="4020"/>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2025, a reconciliation of selected items as reported in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 to adjusted Non-GAAP items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148"/>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percentages and per share data)</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Gross Profit</w:t>
            </w:r>
          </w:p>
        </w:tc>
        <w:tc>
          <w:tcPr>
            <w:tcW w:w="100" w:type="dxa"/>
            <w:vAlign w:val="bottom"/>
            <w:vMerge w:val="restart"/>
          </w:tcPr>
          <w:p>
            <w:pPr>
              <w:spacing w:after="0"/>
              <w:rPr>
                <w:sz w:val="12"/>
                <w:szCs w:val="12"/>
                <w:color w:val="auto"/>
              </w:rPr>
            </w:pPr>
          </w:p>
        </w:tc>
        <w:tc>
          <w:tcPr>
            <w:tcW w:w="148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Operating income</w:t>
            </w:r>
          </w:p>
        </w:tc>
        <w:tc>
          <w:tcPr>
            <w:tcW w:w="100" w:type="dxa"/>
            <w:vAlign w:val="bottom"/>
            <w:vMerge w:val="restart"/>
          </w:tcPr>
          <w:p>
            <w:pPr>
              <w:spacing w:after="0"/>
              <w:rPr>
                <w:sz w:val="12"/>
                <w:szCs w:val="12"/>
                <w:color w:val="auto"/>
              </w:rPr>
            </w:pPr>
          </w:p>
        </w:tc>
        <w:tc>
          <w:tcPr>
            <w:tcW w:w="1120" w:type="dxa"/>
            <w:vAlign w:val="bottom"/>
          </w:tcPr>
          <w:p>
            <w:pPr>
              <w:jc w:val="center"/>
              <w:ind w:left="168"/>
              <w:spacing w:after="0" w:line="145" w:lineRule="exact"/>
              <w:rPr>
                <w:sz w:val="20"/>
                <w:szCs w:val="20"/>
                <w:color w:val="auto"/>
              </w:rPr>
            </w:pPr>
            <w:r>
              <w:rPr>
                <w:rFonts w:ascii="Arial" w:cs="Arial" w:eastAsia="Arial" w:hAnsi="Arial"/>
                <w:sz w:val="14"/>
                <w:szCs w:val="14"/>
                <w:color w:val="auto"/>
              </w:rPr>
              <w:t>Attributable to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Diluted EPS</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DFFCC"/>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DFFCC"/>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DFFCC"/>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Dentsply Sirona (a)</w:t>
            </w:r>
          </w:p>
        </w:tc>
        <w:tc>
          <w:tcPr>
            <w:tcW w:w="80" w:type="dxa"/>
            <w:vAlign w:val="bottom"/>
            <w:tcBorders>
              <w:bottom w:val="single" w:sz="8" w:color="CD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gridSpan w:val="2"/>
            <w:shd w:val="clear" w:color="auto" w:fill="CDFFCC"/>
          </w:tcPr>
          <w:p>
            <w:pPr>
              <w:ind w:left="20"/>
              <w:spacing w:after="0"/>
              <w:rPr>
                <w:sz w:val="20"/>
                <w:szCs w:val="20"/>
                <w:color w:val="auto"/>
              </w:rPr>
            </w:pPr>
            <w:r>
              <w:rPr>
                <w:rFonts w:ascii="Arial" w:cs="Arial" w:eastAsia="Arial" w:hAnsi="Arial"/>
                <w:sz w:val="14"/>
                <w:szCs w:val="14"/>
                <w:b w:val="1"/>
                <w:bCs w:val="1"/>
                <w:color w:val="auto"/>
              </w:rPr>
              <w:t>GAAP</w:t>
            </w:r>
          </w:p>
        </w:tc>
        <w:tc>
          <w:tcPr>
            <w:tcW w:w="220" w:type="dxa"/>
            <w:vAlign w:val="bottom"/>
            <w:shd w:val="clear" w:color="auto" w:fill="CD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DFFCC"/>
          </w:tcPr>
          <w:p>
            <w:pPr>
              <w:spacing w:after="0"/>
              <w:rPr>
                <w:sz w:val="17"/>
                <w:szCs w:val="17"/>
                <w:color w:val="auto"/>
              </w:rPr>
            </w:pPr>
          </w:p>
        </w:tc>
        <w:tc>
          <w:tcPr>
            <w:tcW w:w="800" w:type="dxa"/>
            <w:vAlign w:val="bottom"/>
            <w:shd w:val="clear" w:color="auto" w:fill="CDFFCC"/>
          </w:tcPr>
          <w:p>
            <w:pPr>
              <w:jc w:val="right"/>
              <w:ind w:right="6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w w:val="89"/>
              </w:rPr>
              <w:t>20</w:t>
            </w: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DFFCC"/>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99"/>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Non-GAAP Adjustments: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gridSpan w:val="2"/>
            <w:shd w:val="clear" w:color="auto" w:fill="CDFFCC"/>
          </w:tcPr>
          <w:p>
            <w:pPr>
              <w:ind w:left="360"/>
              <w:spacing w:after="0"/>
              <w:rPr>
                <w:sz w:val="20"/>
                <w:szCs w:val="20"/>
                <w:color w:val="auto"/>
              </w:rPr>
            </w:pPr>
            <w:r>
              <w:rPr>
                <w:rFonts w:ascii="Arial" w:cs="Arial" w:eastAsia="Arial" w:hAnsi="Arial"/>
                <w:sz w:val="14"/>
                <w:szCs w:val="14"/>
                <w:color w:val="auto"/>
              </w:rPr>
              <w:t>Amortization of Purchased Intangible Assets</w:t>
            </w:r>
          </w:p>
        </w:tc>
        <w:tc>
          <w:tcPr>
            <w:tcW w:w="220" w:type="dxa"/>
            <w:vAlign w:val="bottom"/>
            <w:shd w:val="clear" w:color="auto" w:fill="CDFFCC"/>
          </w:tcPr>
          <w:p>
            <w:pPr>
              <w:spacing w:after="0"/>
              <w:rPr>
                <w:sz w:val="17"/>
                <w:szCs w:val="17"/>
                <w:color w:val="auto"/>
              </w:rPr>
            </w:pPr>
          </w:p>
        </w:tc>
        <w:tc>
          <w:tcPr>
            <w:tcW w:w="124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4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w w:val="89"/>
              </w:rPr>
              <w:t>33</w:t>
            </w: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99"/>
        </w:trPr>
        <w:tc>
          <w:tcPr>
            <w:tcW w:w="5300" w:type="dxa"/>
            <w:vAlign w:val="bottom"/>
            <w:gridSpan w:val="2"/>
          </w:tcPr>
          <w:p>
            <w:pPr>
              <w:ind w:left="360"/>
              <w:spacing w:after="0"/>
              <w:rPr>
                <w:sz w:val="20"/>
                <w:szCs w:val="20"/>
                <w:color w:val="auto"/>
              </w:rPr>
            </w:pPr>
            <w:r>
              <w:rPr>
                <w:rFonts w:ascii="Arial" w:cs="Arial" w:eastAsia="Arial" w:hAnsi="Arial"/>
                <w:sz w:val="14"/>
                <w:szCs w:val="14"/>
                <w:color w:val="auto"/>
              </w:rPr>
              <w:t>Restructuring-Related Charges and Other Costs</w:t>
            </w:r>
          </w:p>
        </w:tc>
        <w:tc>
          <w:tcPr>
            <w:tcW w:w="22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6"/>
        </w:trPr>
        <w:tc>
          <w:tcPr>
            <w:tcW w:w="5300" w:type="dxa"/>
            <w:vAlign w:val="bottom"/>
            <w:gridSpan w:val="2"/>
            <w:shd w:val="clear" w:color="auto" w:fill="CDFFCC"/>
          </w:tcPr>
          <w:p>
            <w:pPr>
              <w:ind w:left="360"/>
              <w:spacing w:after="0"/>
              <w:rPr>
                <w:sz w:val="20"/>
                <w:szCs w:val="20"/>
                <w:color w:val="auto"/>
              </w:rPr>
            </w:pPr>
            <w:r>
              <w:rPr>
                <w:rFonts w:ascii="Arial" w:cs="Arial" w:eastAsia="Arial" w:hAnsi="Arial"/>
                <w:sz w:val="14"/>
                <w:szCs w:val="14"/>
                <w:color w:val="auto"/>
              </w:rPr>
              <w:t>Business Combination-Related Costs and Fair Value Adjustments</w:t>
            </w:r>
          </w:p>
        </w:tc>
        <w:tc>
          <w:tcPr>
            <w:tcW w:w="220" w:type="dxa"/>
            <w:vAlign w:val="bottom"/>
            <w:shd w:val="clear" w:color="auto" w:fill="CDFFCC"/>
          </w:tcPr>
          <w:p>
            <w:pPr>
              <w:spacing w:after="0"/>
              <w:rPr>
                <w:sz w:val="17"/>
                <w:szCs w:val="17"/>
                <w:color w:val="auto"/>
              </w:rPr>
            </w:pPr>
          </w:p>
        </w:tc>
        <w:tc>
          <w:tcPr>
            <w:tcW w:w="124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4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300" w:type="dxa"/>
            <w:vAlign w:val="bottom"/>
            <w:gridSpan w:val="2"/>
          </w:tcPr>
          <w:p>
            <w:pPr>
              <w:ind w:left="360"/>
              <w:spacing w:after="0"/>
              <w:rPr>
                <w:sz w:val="20"/>
                <w:szCs w:val="20"/>
                <w:color w:val="auto"/>
              </w:rPr>
            </w:pPr>
            <w:r>
              <w:rPr>
                <w:rFonts w:ascii="Arial" w:cs="Arial" w:eastAsia="Arial" w:hAnsi="Arial"/>
                <w:sz w:val="14"/>
                <w:szCs w:val="14"/>
                <w:color w:val="auto"/>
              </w:rPr>
              <w:t>Income Tax-Related Adjustments</w:t>
            </w:r>
          </w:p>
        </w:tc>
        <w:tc>
          <w:tcPr>
            <w:tcW w:w="22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0"/>
        </w:trPr>
        <w:tc>
          <w:tcPr>
            <w:tcW w:w="5300" w:type="dxa"/>
            <w:vAlign w:val="bottom"/>
            <w:tcBorders>
              <w:top w:val="single" w:sz="8" w:color="CDFFCC"/>
            </w:tcBorders>
            <w:gridSpan w:val="2"/>
            <w:shd w:val="clear" w:color="auto" w:fill="CDFFCC"/>
          </w:tcPr>
          <w:p>
            <w:pPr>
              <w:ind w:left="20"/>
              <w:spacing w:after="0"/>
              <w:rPr>
                <w:sz w:val="20"/>
                <w:szCs w:val="20"/>
                <w:color w:val="auto"/>
              </w:rPr>
            </w:pPr>
            <w:r>
              <w:rPr>
                <w:rFonts w:ascii="Arial" w:cs="Arial" w:eastAsia="Arial" w:hAnsi="Arial"/>
                <w:sz w:val="14"/>
                <w:szCs w:val="14"/>
                <w:b w:val="1"/>
                <w:bCs w:val="1"/>
                <w:color w:val="auto"/>
              </w:rPr>
              <w:t>Adjusted Non-GAAP</w:t>
            </w:r>
          </w:p>
        </w:tc>
        <w:tc>
          <w:tcPr>
            <w:tcW w:w="220" w:type="dxa"/>
            <w:vAlign w:val="bottom"/>
            <w:tcBorders>
              <w:top w:val="single" w:sz="8" w:color="auto"/>
            </w:tcBorders>
            <w:shd w:val="clear" w:color="auto" w:fill="CD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DFFCC"/>
          </w:tcPr>
          <w:p>
            <w:pPr>
              <w:jc w:val="right"/>
              <w:ind w:right="128"/>
              <w:spacing w:after="0"/>
              <w:rPr>
                <w:sz w:val="20"/>
                <w:szCs w:val="20"/>
                <w:color w:val="auto"/>
              </w:rPr>
            </w:pPr>
            <w:r>
              <w:rPr>
                <w:rFonts w:ascii="Arial" w:cs="Arial" w:eastAsia="Arial" w:hAnsi="Arial"/>
                <w:sz w:val="14"/>
                <w:szCs w:val="14"/>
                <w:color w:val="auto"/>
              </w:rPr>
              <w:t>495</w:t>
            </w:r>
          </w:p>
        </w:tc>
        <w:tc>
          <w:tcPr>
            <w:tcW w:w="100" w:type="dxa"/>
            <w:vAlign w:val="bottom"/>
            <w:tcBorders>
              <w:top w:val="single" w:sz="8" w:color="CDFFCC"/>
            </w:tcBorders>
            <w:shd w:val="clear" w:color="auto" w:fill="CDFFCC"/>
          </w:tcPr>
          <w:p>
            <w:pPr>
              <w:spacing w:after="0"/>
              <w:rPr>
                <w:sz w:val="17"/>
                <w:szCs w:val="17"/>
                <w:color w:val="auto"/>
              </w:rPr>
            </w:pPr>
          </w:p>
        </w:tc>
        <w:tc>
          <w:tcPr>
            <w:tcW w:w="800" w:type="dxa"/>
            <w:vAlign w:val="bottom"/>
            <w:tcBorders>
              <w:top w:val="single" w:sz="8" w:color="auto"/>
            </w:tcBorders>
            <w:shd w:val="clear" w:color="auto" w:fill="CDFFCC"/>
          </w:tcPr>
          <w:p>
            <w:pPr>
              <w:jc w:val="right"/>
              <w:ind w:right="6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DFFCC"/>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tcBorders>
              <w:top w:val="single" w:sz="8" w:color="CDFFCC"/>
            </w:tcBorders>
            <w:shd w:val="clear" w:color="auto" w:fill="CDFFCC"/>
          </w:tcPr>
          <w:p>
            <w:pPr>
              <w:spacing w:after="0"/>
              <w:rPr>
                <w:sz w:val="17"/>
                <w:szCs w:val="17"/>
                <w:color w:val="auto"/>
              </w:rPr>
            </w:pPr>
          </w:p>
        </w:tc>
        <w:tc>
          <w:tcPr>
            <w:tcW w:w="1120" w:type="dxa"/>
            <w:vAlign w:val="bottom"/>
            <w:tcBorders>
              <w:top w:val="single" w:sz="8" w:color="auto"/>
            </w:tcBorders>
            <w:shd w:val="clear" w:color="auto" w:fill="CDFFCC"/>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DFFCC"/>
          </w:tcPr>
          <w:p>
            <w:pPr>
              <w:jc w:val="right"/>
              <w:ind w:right="8"/>
              <w:spacing w:after="0"/>
              <w:rPr>
                <w:sz w:val="20"/>
                <w:szCs w:val="20"/>
                <w:color w:val="auto"/>
              </w:rPr>
            </w:pPr>
            <w:r>
              <w:rPr>
                <w:rFonts w:ascii="Arial" w:cs="Arial" w:eastAsia="Arial" w:hAnsi="Arial"/>
                <w:sz w:val="14"/>
                <w:szCs w:val="14"/>
                <w:color w:val="auto"/>
                <w:w w:val="89"/>
              </w:rPr>
              <w:t>87</w:t>
            </w:r>
          </w:p>
        </w:tc>
        <w:tc>
          <w:tcPr>
            <w:tcW w:w="80" w:type="dxa"/>
            <w:vAlign w:val="bottom"/>
            <w:tcBorders>
              <w:top w:val="single" w:sz="8" w:color="CDFFCC"/>
            </w:tcBorders>
            <w:shd w:val="clear" w:color="auto" w:fill="CDFFCC"/>
          </w:tcPr>
          <w:p>
            <w:pPr>
              <w:spacing w:after="0"/>
              <w:rPr>
                <w:sz w:val="17"/>
                <w:szCs w:val="17"/>
                <w:color w:val="auto"/>
              </w:rPr>
            </w:pPr>
          </w:p>
        </w:tc>
        <w:tc>
          <w:tcPr>
            <w:tcW w:w="200" w:type="dxa"/>
            <w:vAlign w:val="bottom"/>
            <w:tcBorders>
              <w:top w:val="single" w:sz="8" w:color="auto"/>
            </w:tcBorders>
            <w:shd w:val="clear" w:color="auto" w:fill="CDFFC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DFFCC"/>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98"/>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GAAP Margin</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53.0 %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00" w:type="dxa"/>
            <w:vAlign w:val="bottom"/>
            <w:gridSpan w:val="2"/>
            <w:shd w:val="clear" w:color="auto" w:fill="CDFFCC"/>
          </w:tcPr>
          <w:p>
            <w:pPr>
              <w:ind w:left="20"/>
              <w:spacing w:after="0"/>
              <w:rPr>
                <w:sz w:val="20"/>
                <w:szCs w:val="20"/>
                <w:color w:val="auto"/>
              </w:rPr>
            </w:pPr>
            <w:r>
              <w:rPr>
                <w:rFonts w:ascii="Arial" w:cs="Arial" w:eastAsia="Arial" w:hAnsi="Arial"/>
                <w:sz w:val="14"/>
                <w:szCs w:val="14"/>
                <w:color w:val="auto"/>
              </w:rPr>
              <w:t>Adjusted Non-GAAP Margin</w:t>
            </w:r>
          </w:p>
        </w:tc>
        <w:tc>
          <w:tcPr>
            <w:tcW w:w="220" w:type="dxa"/>
            <w:vAlign w:val="bottom"/>
            <w:shd w:val="clear" w:color="auto" w:fill="CDFFCC"/>
          </w:tcPr>
          <w:p>
            <w:pPr>
              <w:spacing w:after="0"/>
              <w:rPr>
                <w:sz w:val="17"/>
                <w:szCs w:val="17"/>
                <w:color w:val="auto"/>
              </w:rPr>
            </w:pPr>
          </w:p>
        </w:tc>
        <w:tc>
          <w:tcPr>
            <w:tcW w:w="12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56.3 %</w:t>
            </w:r>
          </w:p>
        </w:tc>
        <w:tc>
          <w:tcPr>
            <w:tcW w:w="10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15.1 %</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4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116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560" w:type="dxa"/>
            <w:vAlign w:val="bottom"/>
            <w:gridSpan w:val="3"/>
          </w:tcPr>
          <w:p>
            <w:pPr>
              <w:spacing w:after="0"/>
              <w:rPr>
                <w:sz w:val="23"/>
                <w:szCs w:val="23"/>
                <w:color w:val="auto"/>
              </w:rPr>
            </w:pPr>
          </w:p>
        </w:tc>
        <w:tc>
          <w:tcPr>
            <w:tcW w:w="900" w:type="dxa"/>
            <w:vAlign w:val="bottom"/>
            <w:gridSpan w:val="2"/>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660" w:type="dxa"/>
            <w:vAlign w:val="bottom"/>
            <w:gridSpan w:val="6"/>
            <w:shd w:val="clear" w:color="auto" w:fill="CDFFCC"/>
          </w:tcPr>
          <w:p>
            <w:pPr>
              <w:ind w:left="20"/>
              <w:spacing w:after="0"/>
              <w:rPr>
                <w:sz w:val="20"/>
                <w:szCs w:val="20"/>
                <w:color w:val="auto"/>
              </w:rPr>
            </w:pPr>
            <w:r>
              <w:rPr>
                <w:rFonts w:ascii="Arial" w:cs="Arial" w:eastAsia="Arial" w:hAnsi="Arial"/>
                <w:sz w:val="14"/>
                <w:szCs w:val="14"/>
                <w:color w:val="auto"/>
              </w:rPr>
              <w:t>Weighted average common shares outstanding used in calculating diluted GAAP net loss per common share</w:t>
            </w:r>
          </w:p>
        </w:tc>
        <w:tc>
          <w:tcPr>
            <w:tcW w:w="68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4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1160" w:type="dxa"/>
            <w:vAlign w:val="bottom"/>
            <w:shd w:val="clear" w:color="auto" w:fill="CDFFCC"/>
          </w:tcPr>
          <w:p>
            <w:pPr>
              <w:jc w:val="right"/>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198"/>
        </w:trPr>
        <w:tc>
          <w:tcPr>
            <w:tcW w:w="7660" w:type="dxa"/>
            <w:vAlign w:val="bottom"/>
            <w:gridSpan w:val="6"/>
          </w:tcPr>
          <w:p>
            <w:pPr>
              <w:ind w:left="20"/>
              <w:spacing w:after="0"/>
              <w:rPr>
                <w:sz w:val="20"/>
                <w:szCs w:val="20"/>
                <w:color w:val="auto"/>
              </w:rPr>
            </w:pPr>
            <w:r>
              <w:rPr>
                <w:rFonts w:ascii="Arial" w:cs="Arial" w:eastAsia="Arial" w:hAnsi="Arial"/>
                <w:sz w:val="14"/>
                <w:szCs w:val="14"/>
                <w:color w:val="auto"/>
              </w:rPr>
              <w:t>Weighted average common shares outstanding used in calculating diluted Non-GAAP net income per common share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07"/>
        </w:trPr>
        <w:tc>
          <w:tcPr>
            <w:tcW w:w="9560" w:type="dxa"/>
            <w:vAlign w:val="bottom"/>
            <w:gridSpan w:val="9"/>
            <w:shd w:val="clear" w:color="auto" w:fill="CDFFCC"/>
          </w:tcPr>
          <w:p>
            <w:pPr>
              <w:ind w:left="20"/>
              <w:spacing w:after="0"/>
              <w:rPr>
                <w:sz w:val="20"/>
                <w:szCs w:val="20"/>
                <w:color w:val="auto"/>
              </w:rPr>
            </w:pPr>
            <w:r>
              <w:rPr>
                <w:rFonts w:ascii="Arial" w:cs="Arial" w:eastAsia="Arial" w:hAnsi="Arial"/>
                <w:sz w:val="14"/>
                <w:szCs w:val="14"/>
                <w:color w:val="auto"/>
              </w:rPr>
              <w:t>(a) The tax expense on the Non-GAAP adjustments totals $4 million which is inclusive of the $14 million income tax-related adjustment above.</w:t>
            </w:r>
          </w:p>
        </w:tc>
        <w:tc>
          <w:tcPr>
            <w:tcW w:w="240" w:type="dxa"/>
            <w:vAlign w:val="bottom"/>
            <w:shd w:val="clear" w:color="auto" w:fill="CDFFCC"/>
          </w:tcPr>
          <w:p>
            <w:pPr>
              <w:spacing w:after="0"/>
              <w:rPr>
                <w:sz w:val="17"/>
                <w:szCs w:val="17"/>
                <w:color w:val="auto"/>
              </w:rPr>
            </w:pPr>
          </w:p>
        </w:tc>
        <w:tc>
          <w:tcPr>
            <w:tcW w:w="80" w:type="dxa"/>
            <w:vAlign w:val="bottom"/>
            <w:shd w:val="clear" w:color="auto" w:fill="CDFFCC"/>
          </w:tcPr>
          <w:p>
            <w:pPr>
              <w:spacing w:after="0"/>
              <w:rPr>
                <w:sz w:val="17"/>
                <w:szCs w:val="17"/>
                <w:color w:val="auto"/>
              </w:rPr>
            </w:pPr>
          </w:p>
        </w:tc>
        <w:tc>
          <w:tcPr>
            <w:tcW w:w="200" w:type="dxa"/>
            <w:vAlign w:val="bottom"/>
            <w:shd w:val="clear" w:color="auto" w:fill="CDFFCC"/>
          </w:tcPr>
          <w:p>
            <w:pPr>
              <w:spacing w:after="0"/>
              <w:rPr>
                <w:sz w:val="17"/>
                <w:szCs w:val="17"/>
                <w:color w:val="auto"/>
              </w:rPr>
            </w:pPr>
          </w:p>
        </w:tc>
        <w:tc>
          <w:tcPr>
            <w:tcW w:w="116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p>
      <w:pPr>
        <w:sectPr>
          <w:pgSz w:w="11900" w:h="16838" w:orient="portrait"/>
          <w:cols w:equalWidth="0" w:num="1">
            <w:col w:w="11240"/>
          </w:cols>
          <w:pgMar w:left="320" w:top="93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percentages)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2024, a reconciliation of selected items as reported in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 to adjusted Non-GAAP items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148"/>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2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percentages and per share data)</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Gross Profit</w:t>
            </w:r>
          </w:p>
        </w:tc>
        <w:tc>
          <w:tcPr>
            <w:tcW w:w="80" w:type="dxa"/>
            <w:vAlign w:val="bottom"/>
            <w:vMerge w:val="restart"/>
          </w:tcPr>
          <w:p>
            <w:pPr>
              <w:spacing w:after="0"/>
              <w:rPr>
                <w:sz w:val="12"/>
                <w:szCs w:val="12"/>
                <w:color w:val="auto"/>
              </w:rPr>
            </w:pPr>
          </w:p>
        </w:tc>
        <w:tc>
          <w:tcPr>
            <w:tcW w:w="148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Operating income</w:t>
            </w:r>
          </w:p>
        </w:tc>
        <w:tc>
          <w:tcPr>
            <w:tcW w:w="100" w:type="dxa"/>
            <w:vAlign w:val="bottom"/>
            <w:vMerge w:val="restart"/>
          </w:tcPr>
          <w:p>
            <w:pPr>
              <w:spacing w:after="0"/>
              <w:rPr>
                <w:sz w:val="12"/>
                <w:szCs w:val="12"/>
                <w:color w:val="auto"/>
              </w:rPr>
            </w:pPr>
          </w:p>
        </w:tc>
        <w:tc>
          <w:tcPr>
            <w:tcW w:w="1120" w:type="dxa"/>
            <w:vAlign w:val="bottom"/>
          </w:tcPr>
          <w:p>
            <w:pPr>
              <w:jc w:val="center"/>
              <w:ind w:left="148"/>
              <w:spacing w:after="0" w:line="145" w:lineRule="exact"/>
              <w:rPr>
                <w:sz w:val="20"/>
                <w:szCs w:val="20"/>
                <w:color w:val="auto"/>
              </w:rPr>
            </w:pPr>
            <w:r>
              <w:rPr>
                <w:rFonts w:ascii="Arial" w:cs="Arial" w:eastAsia="Arial" w:hAnsi="Arial"/>
                <w:sz w:val="14"/>
                <w:szCs w:val="14"/>
                <w:color w:val="auto"/>
              </w:rPr>
              <w:t>Attributable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Diluted EPS</w:t>
            </w:r>
          </w:p>
        </w:tc>
        <w:tc>
          <w:tcPr>
            <w:tcW w:w="0" w:type="dxa"/>
            <w:vAlign w:val="bottom"/>
          </w:tcPr>
          <w:p>
            <w:pPr>
              <w:spacing w:after="0"/>
              <w:rPr>
                <w:sz w:val="1"/>
                <w:szCs w:val="1"/>
                <w:color w:val="auto"/>
              </w:rPr>
            </w:pPr>
          </w:p>
        </w:tc>
      </w:tr>
      <w:tr>
        <w:trPr>
          <w:trHeight w:val="189"/>
        </w:trPr>
        <w:tc>
          <w:tcPr>
            <w:tcW w:w="5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DFFCC"/>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DFFCC"/>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DFFCC"/>
            </w:tcBorders>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Dentsply Sirona (a)</w:t>
            </w:r>
          </w:p>
        </w:tc>
        <w:tc>
          <w:tcPr>
            <w:tcW w:w="100" w:type="dxa"/>
            <w:vAlign w:val="bottom"/>
            <w:tcBorders>
              <w:bottom w:val="single" w:sz="8" w:color="CD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DFFCC"/>
          </w:tcPr>
          <w:p>
            <w:pPr>
              <w:ind w:left="20"/>
              <w:spacing w:after="0"/>
              <w:rPr>
                <w:sz w:val="20"/>
                <w:szCs w:val="20"/>
                <w:color w:val="auto"/>
              </w:rPr>
            </w:pPr>
            <w:r>
              <w:rPr>
                <w:rFonts w:ascii="Arial" w:cs="Arial" w:eastAsia="Arial" w:hAnsi="Arial"/>
                <w:sz w:val="14"/>
                <w:szCs w:val="14"/>
                <w:b w:val="1"/>
                <w:bCs w:val="1"/>
                <w:color w:val="auto"/>
              </w:rPr>
              <w:t>GAAP</w:t>
            </w:r>
          </w:p>
        </w:tc>
        <w:tc>
          <w:tcPr>
            <w:tcW w:w="220" w:type="dxa"/>
            <w:vAlign w:val="bottom"/>
            <w:shd w:val="clear" w:color="auto" w:fill="CD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506</w:t>
            </w:r>
          </w:p>
        </w:tc>
        <w:tc>
          <w:tcPr>
            <w:tcW w:w="80" w:type="dxa"/>
            <w:vAlign w:val="bottom"/>
            <w:shd w:val="clear" w:color="auto" w:fill="CDFFCC"/>
          </w:tcPr>
          <w:p>
            <w:pPr>
              <w:spacing w:after="0"/>
              <w:rPr>
                <w:sz w:val="17"/>
                <w:szCs w:val="17"/>
                <w:color w:val="auto"/>
              </w:rPr>
            </w:pPr>
          </w:p>
        </w:tc>
        <w:tc>
          <w:tcPr>
            <w:tcW w:w="800" w:type="dxa"/>
            <w:vAlign w:val="bottom"/>
            <w:shd w:val="clear" w:color="auto" w:fill="CDFFCC"/>
          </w:tcPr>
          <w:p>
            <w:pPr>
              <w:jc w:val="right"/>
              <w:ind w:right="6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jc w:val="right"/>
              <w:ind w:right="9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DFFCC"/>
          </w:tcPr>
          <w:p>
            <w:pPr>
              <w:jc w:val="right"/>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98"/>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Non-GAAP Adjustments: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gridSpan w:val="2"/>
            <w:shd w:val="clear" w:color="auto" w:fill="CDFFCC"/>
          </w:tcPr>
          <w:p>
            <w:pPr>
              <w:ind w:left="360"/>
              <w:spacing w:after="0"/>
              <w:rPr>
                <w:sz w:val="20"/>
                <w:szCs w:val="20"/>
                <w:color w:val="auto"/>
              </w:rPr>
            </w:pPr>
            <w:r>
              <w:rPr>
                <w:rFonts w:ascii="Arial" w:cs="Arial" w:eastAsia="Arial" w:hAnsi="Arial"/>
                <w:sz w:val="14"/>
                <w:szCs w:val="14"/>
                <w:color w:val="auto"/>
              </w:rPr>
              <w:t>Amortization of Purchased Intangible Assets</w:t>
            </w:r>
          </w:p>
        </w:tc>
        <w:tc>
          <w:tcPr>
            <w:tcW w:w="220" w:type="dxa"/>
            <w:vAlign w:val="bottom"/>
            <w:shd w:val="clear" w:color="auto" w:fill="CDFFCC"/>
          </w:tcPr>
          <w:p>
            <w:pPr>
              <w:spacing w:after="0"/>
              <w:rPr>
                <w:sz w:val="17"/>
                <w:szCs w:val="17"/>
                <w:color w:val="auto"/>
              </w:rPr>
            </w:pPr>
          </w:p>
        </w:tc>
        <w:tc>
          <w:tcPr>
            <w:tcW w:w="124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31</w:t>
            </w:r>
          </w:p>
        </w:tc>
        <w:tc>
          <w:tcPr>
            <w:tcW w:w="8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20" w:type="dxa"/>
            <w:vAlign w:val="bottom"/>
            <w:shd w:val="clear" w:color="auto" w:fill="CDFFCC"/>
          </w:tcPr>
          <w:p>
            <w:pPr>
              <w:jc w:val="right"/>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spacing w:after="0"/>
              <w:rPr>
                <w:sz w:val="17"/>
                <w:szCs w:val="17"/>
                <w:color w:val="auto"/>
              </w:rPr>
            </w:pPr>
          </w:p>
        </w:tc>
        <w:tc>
          <w:tcPr>
            <w:tcW w:w="116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98"/>
        </w:trPr>
        <w:tc>
          <w:tcPr>
            <w:tcW w:w="5320" w:type="dxa"/>
            <w:vAlign w:val="bottom"/>
            <w:gridSpan w:val="2"/>
          </w:tcPr>
          <w:p>
            <w:pPr>
              <w:ind w:left="360"/>
              <w:spacing w:after="0"/>
              <w:rPr>
                <w:sz w:val="20"/>
                <w:szCs w:val="20"/>
                <w:color w:val="auto"/>
              </w:rPr>
            </w:pPr>
            <w:r>
              <w:rPr>
                <w:rFonts w:ascii="Arial" w:cs="Arial" w:eastAsia="Arial" w:hAnsi="Arial"/>
                <w:sz w:val="14"/>
                <w:szCs w:val="14"/>
                <w:color w:val="auto"/>
              </w:rPr>
              <w:t>Restructuring-Related Charges and Other Costs</w:t>
            </w:r>
          </w:p>
        </w:tc>
        <w:tc>
          <w:tcPr>
            <w:tcW w:w="22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7"/>
        </w:trPr>
        <w:tc>
          <w:tcPr>
            <w:tcW w:w="5320" w:type="dxa"/>
            <w:vAlign w:val="bottom"/>
            <w:gridSpan w:val="2"/>
            <w:shd w:val="clear" w:color="auto" w:fill="CDFFCC"/>
          </w:tcPr>
          <w:p>
            <w:pPr>
              <w:ind w:left="360"/>
              <w:spacing w:after="0"/>
              <w:rPr>
                <w:sz w:val="20"/>
                <w:szCs w:val="20"/>
                <w:color w:val="auto"/>
              </w:rPr>
            </w:pPr>
            <w:r>
              <w:rPr>
                <w:rFonts w:ascii="Arial" w:cs="Arial" w:eastAsia="Arial" w:hAnsi="Arial"/>
                <w:sz w:val="14"/>
                <w:szCs w:val="14"/>
                <w:color w:val="auto"/>
              </w:rPr>
              <w:t>Goodwill and Intangible Asset Impairments</w:t>
            </w:r>
          </w:p>
        </w:tc>
        <w:tc>
          <w:tcPr>
            <w:tcW w:w="220" w:type="dxa"/>
            <w:vAlign w:val="bottom"/>
            <w:shd w:val="clear" w:color="auto" w:fill="CDFFCC"/>
          </w:tcPr>
          <w:p>
            <w:pPr>
              <w:spacing w:after="0"/>
              <w:rPr>
                <w:sz w:val="17"/>
                <w:szCs w:val="17"/>
                <w:color w:val="auto"/>
              </w:rPr>
            </w:pPr>
          </w:p>
        </w:tc>
        <w:tc>
          <w:tcPr>
            <w:tcW w:w="1320" w:type="dxa"/>
            <w:vAlign w:val="bottom"/>
            <w:gridSpan w:val="2"/>
            <w:shd w:val="clear" w:color="auto" w:fill="CDFFCC"/>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ind w:right="1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2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spacing w:after="0"/>
              <w:rPr>
                <w:sz w:val="17"/>
                <w:szCs w:val="17"/>
                <w:color w:val="auto"/>
              </w:rPr>
            </w:pPr>
          </w:p>
        </w:tc>
        <w:tc>
          <w:tcPr>
            <w:tcW w:w="116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8"/>
        </w:trPr>
        <w:tc>
          <w:tcPr>
            <w:tcW w:w="5320" w:type="dxa"/>
            <w:vAlign w:val="bottom"/>
            <w:gridSpan w:val="2"/>
          </w:tcPr>
          <w:p>
            <w:pPr>
              <w:ind w:left="360"/>
              <w:spacing w:after="0"/>
              <w:rPr>
                <w:sz w:val="20"/>
                <w:szCs w:val="20"/>
                <w:color w:val="auto"/>
              </w:rPr>
            </w:pPr>
            <w:r>
              <w:rPr>
                <w:rFonts w:ascii="Arial" w:cs="Arial" w:eastAsia="Arial" w:hAnsi="Arial"/>
                <w:sz w:val="14"/>
                <w:szCs w:val="14"/>
                <w:color w:val="auto"/>
              </w:rPr>
              <w:t>Business Combination-Related Costs and Fair Value Adjustments</w:t>
            </w:r>
          </w:p>
        </w:tc>
        <w:tc>
          <w:tcPr>
            <w:tcW w:w="2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320" w:type="dxa"/>
            <w:vAlign w:val="bottom"/>
            <w:gridSpan w:val="2"/>
            <w:shd w:val="clear" w:color="auto" w:fill="CDFFCC"/>
          </w:tcPr>
          <w:p>
            <w:pPr>
              <w:ind w:left="360"/>
              <w:spacing w:after="0"/>
              <w:rPr>
                <w:sz w:val="20"/>
                <w:szCs w:val="20"/>
                <w:color w:val="auto"/>
              </w:rPr>
            </w:pPr>
            <w:r>
              <w:rPr>
                <w:rFonts w:ascii="Arial" w:cs="Arial" w:eastAsia="Arial" w:hAnsi="Arial"/>
                <w:sz w:val="14"/>
                <w:szCs w:val="14"/>
                <w:color w:val="auto"/>
              </w:rPr>
              <w:t>Income Tax-Related Adjustments</w:t>
            </w:r>
          </w:p>
        </w:tc>
        <w:tc>
          <w:tcPr>
            <w:tcW w:w="220" w:type="dxa"/>
            <w:vAlign w:val="bottom"/>
            <w:shd w:val="clear" w:color="auto" w:fill="CDFFCC"/>
          </w:tcPr>
          <w:p>
            <w:pPr>
              <w:spacing w:after="0"/>
              <w:rPr>
                <w:sz w:val="17"/>
                <w:szCs w:val="17"/>
                <w:color w:val="auto"/>
              </w:rPr>
            </w:pPr>
          </w:p>
        </w:tc>
        <w:tc>
          <w:tcPr>
            <w:tcW w:w="1320" w:type="dxa"/>
            <w:vAlign w:val="bottom"/>
            <w:gridSpan w:val="2"/>
            <w:shd w:val="clear" w:color="auto" w:fill="CDFFCC"/>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DFFCC"/>
          </w:tcPr>
          <w:p>
            <w:pPr>
              <w:spacing w:after="0"/>
              <w:rPr>
                <w:sz w:val="17"/>
                <w:szCs w:val="17"/>
                <w:color w:val="auto"/>
              </w:rPr>
            </w:pPr>
          </w:p>
        </w:tc>
        <w:tc>
          <w:tcPr>
            <w:tcW w:w="780" w:type="dxa"/>
            <w:vAlign w:val="bottom"/>
            <w:gridSpan w:val="2"/>
            <w:shd w:val="clear" w:color="auto" w:fill="CDFFCC"/>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DFFCC"/>
          </w:tcPr>
          <w:p>
            <w:pPr>
              <w:spacing w:after="0"/>
              <w:rPr>
                <w:sz w:val="17"/>
                <w:szCs w:val="17"/>
                <w:color w:val="auto"/>
              </w:rPr>
            </w:pPr>
          </w:p>
        </w:tc>
        <w:tc>
          <w:tcPr>
            <w:tcW w:w="220" w:type="dxa"/>
            <w:vAlign w:val="bottom"/>
            <w:shd w:val="clear" w:color="auto" w:fill="CDFFCC"/>
          </w:tcPr>
          <w:p>
            <w:pPr>
              <w:jc w:val="right"/>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spacing w:after="0"/>
              <w:rPr>
                <w:sz w:val="17"/>
                <w:szCs w:val="17"/>
                <w:color w:val="auto"/>
              </w:rPr>
            </w:pPr>
          </w:p>
        </w:tc>
        <w:tc>
          <w:tcPr>
            <w:tcW w:w="116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Non-GAAP</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87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4"/>
        </w:trPr>
        <w:tc>
          <w:tcPr>
            <w:tcW w:w="5320" w:type="dxa"/>
            <w:vAlign w:val="bottom"/>
            <w:gridSpan w:val="2"/>
            <w:shd w:val="clear" w:color="auto" w:fill="CDFFCC"/>
          </w:tcPr>
          <w:p>
            <w:pPr>
              <w:ind w:left="20"/>
              <w:spacing w:after="0"/>
              <w:rPr>
                <w:sz w:val="20"/>
                <w:szCs w:val="20"/>
                <w:color w:val="auto"/>
              </w:rPr>
            </w:pPr>
            <w:r>
              <w:rPr>
                <w:rFonts w:ascii="Arial" w:cs="Arial" w:eastAsia="Arial" w:hAnsi="Arial"/>
                <w:sz w:val="14"/>
                <w:szCs w:val="14"/>
                <w:color w:val="auto"/>
              </w:rPr>
              <w:t>GAAP Margin</w:t>
            </w:r>
          </w:p>
        </w:tc>
        <w:tc>
          <w:tcPr>
            <w:tcW w:w="220" w:type="dxa"/>
            <w:vAlign w:val="bottom"/>
            <w:shd w:val="clear" w:color="auto" w:fill="CDFFCC"/>
          </w:tcPr>
          <w:p>
            <w:pPr>
              <w:spacing w:after="0"/>
              <w:rPr>
                <w:sz w:val="17"/>
                <w:szCs w:val="17"/>
                <w:color w:val="auto"/>
              </w:rPr>
            </w:pPr>
          </w:p>
        </w:tc>
        <w:tc>
          <w:tcPr>
            <w:tcW w:w="1240" w:type="dxa"/>
            <w:vAlign w:val="bottom"/>
            <w:shd w:val="clear" w:color="auto" w:fill="CDFFCC"/>
          </w:tcPr>
          <w:p>
            <w:pPr>
              <w:jc w:val="right"/>
              <w:spacing w:after="0"/>
              <w:rPr>
                <w:sz w:val="20"/>
                <w:szCs w:val="20"/>
                <w:color w:val="auto"/>
              </w:rPr>
            </w:pPr>
            <w:r>
              <w:rPr>
                <w:rFonts w:ascii="Arial" w:cs="Arial" w:eastAsia="Arial" w:hAnsi="Arial"/>
                <w:sz w:val="14"/>
                <w:szCs w:val="14"/>
                <w:color w:val="auto"/>
              </w:rPr>
              <w:t>53.1 %</w:t>
            </w:r>
          </w:p>
        </w:tc>
        <w:tc>
          <w:tcPr>
            <w:tcW w:w="80" w:type="dxa"/>
            <w:vAlign w:val="bottom"/>
            <w:shd w:val="clear" w:color="auto" w:fill="CDFFCC"/>
          </w:tcPr>
          <w:p>
            <w:pPr>
              <w:spacing w:after="0"/>
              <w:rPr>
                <w:sz w:val="17"/>
                <w:szCs w:val="17"/>
                <w:color w:val="auto"/>
              </w:rPr>
            </w:pPr>
          </w:p>
        </w:tc>
        <w:tc>
          <w:tcPr>
            <w:tcW w:w="800" w:type="dxa"/>
            <w:vAlign w:val="bottom"/>
            <w:shd w:val="clear" w:color="auto" w:fill="CDFFCC"/>
          </w:tcPr>
          <w:p>
            <w:pPr>
              <w:spacing w:after="0"/>
              <w:rPr>
                <w:sz w:val="17"/>
                <w:szCs w:val="17"/>
                <w:color w:val="auto"/>
              </w:rPr>
            </w:pPr>
          </w:p>
        </w:tc>
        <w:tc>
          <w:tcPr>
            <w:tcW w:w="680" w:type="dxa"/>
            <w:vAlign w:val="bottom"/>
            <w:shd w:val="clear" w:color="auto" w:fill="CDFFCC"/>
          </w:tcPr>
          <w:p>
            <w:pPr>
              <w:jc w:val="right"/>
              <w:spacing w:after="0"/>
              <w:rPr>
                <w:sz w:val="20"/>
                <w:szCs w:val="20"/>
                <w:color w:val="auto"/>
              </w:rPr>
            </w:pPr>
            <w:r>
              <w:rPr>
                <w:rFonts w:ascii="Arial" w:cs="Arial" w:eastAsia="Arial" w:hAnsi="Arial"/>
                <w:sz w:val="14"/>
                <w:szCs w:val="14"/>
                <w:color w:val="auto"/>
              </w:rPr>
              <w:t>4.4 %</w:t>
            </w: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spacing w:after="0"/>
              <w:rPr>
                <w:sz w:val="17"/>
                <w:szCs w:val="17"/>
                <w:color w:val="auto"/>
              </w:rPr>
            </w:pPr>
          </w:p>
        </w:tc>
        <w:tc>
          <w:tcPr>
            <w:tcW w:w="1160" w:type="dxa"/>
            <w:vAlign w:val="bottom"/>
            <w:shd w:val="clear" w:color="auto" w:fill="CDFFC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Adjusted Non-GAAP Margin</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56.6 %</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220" w:type="dxa"/>
            <w:vAlign w:val="bottom"/>
            <w:shd w:val="clear" w:color="auto" w:fill="CDFFCC"/>
          </w:tcPr>
          <w:p>
            <w:pPr>
              <w:spacing w:after="0"/>
              <w:rPr>
                <w:sz w:val="23"/>
                <w:szCs w:val="23"/>
                <w:color w:val="auto"/>
              </w:rPr>
            </w:pPr>
          </w:p>
        </w:tc>
        <w:tc>
          <w:tcPr>
            <w:tcW w:w="1560" w:type="dxa"/>
            <w:vAlign w:val="bottom"/>
            <w:gridSpan w:val="3"/>
            <w:shd w:val="clear" w:color="auto" w:fill="CDFFCC"/>
          </w:tcPr>
          <w:p>
            <w:pPr>
              <w:spacing w:after="0"/>
              <w:rPr>
                <w:sz w:val="23"/>
                <w:szCs w:val="23"/>
                <w:color w:val="auto"/>
              </w:rPr>
            </w:pPr>
          </w:p>
        </w:tc>
        <w:tc>
          <w:tcPr>
            <w:tcW w:w="880" w:type="dxa"/>
            <w:vAlign w:val="bottom"/>
            <w:gridSpan w:val="2"/>
            <w:shd w:val="clear" w:color="auto" w:fill="CDFFCC"/>
          </w:tcPr>
          <w:p>
            <w:pPr>
              <w:spacing w:after="0"/>
              <w:rPr>
                <w:sz w:val="23"/>
                <w:szCs w:val="23"/>
                <w:color w:val="auto"/>
              </w:rPr>
            </w:pPr>
          </w:p>
        </w:tc>
        <w:tc>
          <w:tcPr>
            <w:tcW w:w="68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1120" w:type="dxa"/>
            <w:vAlign w:val="bottom"/>
            <w:shd w:val="clear" w:color="auto" w:fill="CDFFCC"/>
          </w:tcPr>
          <w:p>
            <w:pPr>
              <w:spacing w:after="0"/>
              <w:rPr>
                <w:sz w:val="23"/>
                <w:szCs w:val="23"/>
                <w:color w:val="auto"/>
              </w:rPr>
            </w:pPr>
          </w:p>
        </w:tc>
        <w:tc>
          <w:tcPr>
            <w:tcW w:w="22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1160" w:type="dxa"/>
            <w:vAlign w:val="bottom"/>
            <w:shd w:val="clear" w:color="auto" w:fill="CDFFCC"/>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7660" w:type="dxa"/>
            <w:vAlign w:val="bottom"/>
            <w:gridSpan w:val="6"/>
          </w:tcPr>
          <w:p>
            <w:pPr>
              <w:ind w:left="20"/>
              <w:spacing w:after="0"/>
              <w:rPr>
                <w:sz w:val="20"/>
                <w:szCs w:val="20"/>
                <w:color w:val="auto"/>
              </w:rPr>
            </w:pPr>
            <w:r>
              <w:rPr>
                <w:rFonts w:ascii="Arial" w:cs="Arial" w:eastAsia="Arial" w:hAnsi="Arial"/>
                <w:sz w:val="14"/>
                <w:szCs w:val="14"/>
                <w:color w:val="auto"/>
              </w:rPr>
              <w:t>Weighted average common shares outstanding used in calculating diluted GAAP net loss per common share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207"/>
        </w:trPr>
        <w:tc>
          <w:tcPr>
            <w:tcW w:w="7660" w:type="dxa"/>
            <w:vAlign w:val="bottom"/>
            <w:gridSpan w:val="6"/>
            <w:shd w:val="clear" w:color="auto" w:fill="CDFFCC"/>
          </w:tcPr>
          <w:p>
            <w:pPr>
              <w:ind w:left="20"/>
              <w:spacing w:after="0"/>
              <w:rPr>
                <w:sz w:val="20"/>
                <w:szCs w:val="20"/>
                <w:color w:val="auto"/>
              </w:rPr>
            </w:pPr>
            <w:r>
              <w:rPr>
                <w:rFonts w:ascii="Arial" w:cs="Arial" w:eastAsia="Arial" w:hAnsi="Arial"/>
                <w:sz w:val="14"/>
                <w:szCs w:val="14"/>
                <w:color w:val="auto"/>
              </w:rPr>
              <w:t>Weighted average common shares outstanding used in calculating diluted Non-GAAP net income per common share</w:t>
            </w:r>
          </w:p>
        </w:tc>
        <w:tc>
          <w:tcPr>
            <w:tcW w:w="68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120" w:type="dxa"/>
            <w:vAlign w:val="bottom"/>
            <w:shd w:val="clear" w:color="auto" w:fill="CDFFCC"/>
          </w:tcPr>
          <w:p>
            <w:pPr>
              <w:spacing w:after="0"/>
              <w:rPr>
                <w:sz w:val="17"/>
                <w:szCs w:val="17"/>
                <w:color w:val="auto"/>
              </w:rPr>
            </w:pPr>
          </w:p>
        </w:tc>
        <w:tc>
          <w:tcPr>
            <w:tcW w:w="220" w:type="dxa"/>
            <w:vAlign w:val="bottom"/>
            <w:shd w:val="clear" w:color="auto" w:fill="CDFFCC"/>
          </w:tcPr>
          <w:p>
            <w:pPr>
              <w:spacing w:after="0"/>
              <w:rPr>
                <w:sz w:val="17"/>
                <w:szCs w:val="17"/>
                <w:color w:val="auto"/>
              </w:rPr>
            </w:pPr>
          </w:p>
        </w:tc>
        <w:tc>
          <w:tcPr>
            <w:tcW w:w="100" w:type="dxa"/>
            <w:vAlign w:val="bottom"/>
            <w:shd w:val="clear" w:color="auto" w:fill="CDFFCC"/>
          </w:tcPr>
          <w:p>
            <w:pPr>
              <w:spacing w:after="0"/>
              <w:rPr>
                <w:sz w:val="17"/>
                <w:szCs w:val="17"/>
                <w:color w:val="auto"/>
              </w:rPr>
            </w:pPr>
          </w:p>
        </w:tc>
        <w:tc>
          <w:tcPr>
            <w:tcW w:w="180" w:type="dxa"/>
            <w:vAlign w:val="bottom"/>
            <w:shd w:val="clear" w:color="auto" w:fill="CDFFCC"/>
          </w:tcPr>
          <w:p>
            <w:pPr>
              <w:spacing w:after="0"/>
              <w:rPr>
                <w:sz w:val="17"/>
                <w:szCs w:val="17"/>
                <w:color w:val="auto"/>
              </w:rPr>
            </w:pPr>
          </w:p>
        </w:tc>
        <w:tc>
          <w:tcPr>
            <w:tcW w:w="1160" w:type="dxa"/>
            <w:vAlign w:val="bottom"/>
            <w:shd w:val="clear" w:color="auto" w:fill="CDFFCC"/>
          </w:tcPr>
          <w:p>
            <w:pPr>
              <w:jc w:val="right"/>
              <w:ind w:right="8"/>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194"/>
        </w:trPr>
        <w:tc>
          <w:tcPr>
            <w:tcW w:w="9560" w:type="dxa"/>
            <w:vAlign w:val="bottom"/>
            <w:gridSpan w:val="9"/>
          </w:tcPr>
          <w:p>
            <w:pPr>
              <w:ind w:left="20"/>
              <w:spacing w:after="0"/>
              <w:rPr>
                <w:sz w:val="20"/>
                <w:szCs w:val="20"/>
                <w:color w:val="auto"/>
              </w:rPr>
            </w:pPr>
            <w:r>
              <w:rPr>
                <w:rFonts w:ascii="Arial" w:cs="Arial" w:eastAsia="Arial" w:hAnsi="Arial"/>
                <w:sz w:val="14"/>
                <w:szCs w:val="14"/>
                <w:color w:val="auto"/>
              </w:rPr>
              <w:t>(a) The tax expense on the Non-GAAP adjustments totals $9 million, which is inclusive of the $11 million income tax-related adjustment above.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p>
      <w:pPr>
        <w:sectPr>
          <w:pgSz w:w="11900" w:h="16838" w:orient="portrait"/>
          <w:cols w:equalWidth="0" w:num="1">
            <w:col w:w="11220"/>
          </w:cols>
          <w:pgMar w:left="320" w:top="931"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DENTSPLY SIRONA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 reconciliation of reported net income attributable to Dentsply Sirona to adjusted EBITDA and margin for the three months ended March 31, 2025 and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 millions, except percentages)</w:t>
            </w:r>
          </w:p>
        </w:tc>
        <w:tc>
          <w:tcPr>
            <w:tcW w:w="480" w:type="dxa"/>
            <w:vAlign w:val="bottom"/>
          </w:tcPr>
          <w:p>
            <w:pPr>
              <w:spacing w:after="0"/>
              <w:rPr>
                <w:sz w:val="19"/>
                <w:szCs w:val="19"/>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color w:val="auto"/>
              </w:rPr>
              <w:t>2024</w:t>
            </w:r>
          </w:p>
        </w:tc>
      </w:tr>
      <w:tr>
        <w:trPr>
          <w:trHeight w:val="34"/>
        </w:trPr>
        <w:tc>
          <w:tcPr>
            <w:tcW w:w="69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r>
      <w:tr>
        <w:trPr>
          <w:trHeight w:val="229"/>
        </w:trPr>
        <w:tc>
          <w:tcPr>
            <w:tcW w:w="7060" w:type="dxa"/>
            <w:vAlign w:val="bottom"/>
            <w:gridSpan w:val="2"/>
            <w:shd w:val="clear" w:color="auto" w:fill="CDFFCC"/>
          </w:tcPr>
          <w:p>
            <w:pPr>
              <w:ind w:left="20"/>
              <w:spacing w:after="0"/>
              <w:rPr>
                <w:sz w:val="20"/>
                <w:szCs w:val="20"/>
                <w:color w:val="auto"/>
              </w:rPr>
            </w:pPr>
            <w:r>
              <w:rPr>
                <w:rFonts w:ascii="Arial" w:cs="Arial" w:eastAsia="Arial" w:hAnsi="Arial"/>
                <w:sz w:val="18"/>
                <w:szCs w:val="18"/>
                <w:b w:val="1"/>
                <w:bCs w:val="1"/>
                <w:color w:val="auto"/>
              </w:rPr>
              <w:t>Net income attributable to Dentsply Sirona</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18</w:t>
            </w:r>
          </w:p>
        </w:tc>
      </w:tr>
      <w:tr>
        <w:trPr>
          <w:trHeight w:val="229"/>
        </w:trPr>
        <w:tc>
          <w:tcPr>
            <w:tcW w:w="7060" w:type="dxa"/>
            <w:vAlign w:val="bottom"/>
            <w:gridSpan w:val="2"/>
          </w:tcPr>
          <w:p>
            <w:pPr>
              <w:ind w:left="10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30"/>
        </w:trPr>
        <w:tc>
          <w:tcPr>
            <w:tcW w:w="7060" w:type="dxa"/>
            <w:vAlign w:val="bottom"/>
            <w:gridSpan w:val="2"/>
            <w:shd w:val="clear" w:color="auto" w:fill="CDFFCC"/>
          </w:tcPr>
          <w:p>
            <w:pPr>
              <w:ind w:left="100"/>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DFFCC"/>
          </w:tcPr>
          <w:p>
            <w:pPr>
              <w:spacing w:after="0"/>
              <w:rPr>
                <w:sz w:val="19"/>
                <w:szCs w:val="19"/>
                <w:color w:val="auto"/>
              </w:rPr>
            </w:pP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spacing w:after="0"/>
              <w:rPr>
                <w:sz w:val="19"/>
                <w:szCs w:val="19"/>
                <w:color w:val="auto"/>
              </w:rPr>
            </w:pP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706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Depreciation</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32</w:t>
            </w:r>
          </w:p>
        </w:tc>
      </w:tr>
      <w:tr>
        <w:trPr>
          <w:trHeight w:val="230"/>
        </w:trPr>
        <w:tc>
          <w:tcPr>
            <w:tcW w:w="7060" w:type="dxa"/>
            <w:vAlign w:val="bottom"/>
            <w:gridSpan w:val="2"/>
            <w:shd w:val="clear" w:color="auto" w:fill="CDFFCC"/>
          </w:tcPr>
          <w:p>
            <w:pPr>
              <w:ind w:left="100"/>
              <w:spacing w:after="0"/>
              <w:rPr>
                <w:sz w:val="20"/>
                <w:szCs w:val="20"/>
                <w:color w:val="auto"/>
              </w:rPr>
            </w:pPr>
            <w:r>
              <w:rPr>
                <w:rFonts w:ascii="Arial" w:cs="Arial" w:eastAsia="Arial" w:hAnsi="Arial"/>
                <w:sz w:val="18"/>
                <w:szCs w:val="18"/>
                <w:color w:val="auto"/>
              </w:rPr>
              <w:t>Amortization of purchased intangible assets</w:t>
            </w:r>
          </w:p>
        </w:tc>
        <w:tc>
          <w:tcPr>
            <w:tcW w:w="480" w:type="dxa"/>
            <w:vAlign w:val="bottom"/>
            <w:shd w:val="clear" w:color="auto" w:fill="CDFFCC"/>
          </w:tcPr>
          <w:p>
            <w:pPr>
              <w:spacing w:after="0"/>
              <w:rPr>
                <w:sz w:val="19"/>
                <w:szCs w:val="19"/>
                <w:color w:val="auto"/>
              </w:rPr>
            </w:pP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spacing w:after="0"/>
              <w:rPr>
                <w:sz w:val="19"/>
                <w:szCs w:val="19"/>
                <w:color w:val="auto"/>
              </w:rPr>
            </w:pP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54</w:t>
            </w:r>
          </w:p>
        </w:tc>
      </w:tr>
      <w:tr>
        <w:trPr>
          <w:trHeight w:val="229"/>
        </w:trPr>
        <w:tc>
          <w:tcPr>
            <w:tcW w:w="7060" w:type="dxa"/>
            <w:vAlign w:val="bottom"/>
            <w:gridSpan w:val="2"/>
          </w:tcPr>
          <w:p>
            <w:pPr>
              <w:ind w:left="100"/>
              <w:spacing w:after="0"/>
              <w:rPr>
                <w:sz w:val="20"/>
                <w:szCs w:val="20"/>
                <w:color w:val="auto"/>
              </w:rPr>
            </w:pPr>
            <w:r>
              <w:rPr>
                <w:rFonts w:ascii="Arial" w:cs="Arial" w:eastAsia="Arial" w:hAnsi="Arial"/>
                <w:sz w:val="18"/>
                <w:szCs w:val="18"/>
                <w:color w:val="auto"/>
              </w:rPr>
              <w:t>Restructuring-related charges and other costs</w:t>
            </w: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7060" w:type="dxa"/>
            <w:vAlign w:val="bottom"/>
            <w:gridSpan w:val="2"/>
            <w:shd w:val="clear" w:color="auto" w:fill="CDFFCC"/>
          </w:tcPr>
          <w:p>
            <w:pPr>
              <w:ind w:left="100"/>
              <w:spacing w:after="0"/>
              <w:rPr>
                <w:sz w:val="20"/>
                <w:szCs w:val="20"/>
                <w:color w:val="auto"/>
              </w:rPr>
            </w:pPr>
            <w:r>
              <w:rPr>
                <w:rFonts w:ascii="Arial" w:cs="Arial" w:eastAsia="Arial" w:hAnsi="Arial"/>
                <w:sz w:val="18"/>
                <w:szCs w:val="18"/>
                <w:color w:val="auto"/>
              </w:rPr>
              <w:t>Goodwill and intangible asset impairments</w:t>
            </w:r>
          </w:p>
        </w:tc>
        <w:tc>
          <w:tcPr>
            <w:tcW w:w="480" w:type="dxa"/>
            <w:vAlign w:val="bottom"/>
            <w:shd w:val="clear" w:color="auto" w:fill="CDFFCC"/>
          </w:tcPr>
          <w:p>
            <w:pPr>
              <w:spacing w:after="0"/>
              <w:rPr>
                <w:sz w:val="19"/>
                <w:szCs w:val="19"/>
                <w:color w:val="auto"/>
              </w:rPr>
            </w:pPr>
          </w:p>
        </w:tc>
        <w:tc>
          <w:tcPr>
            <w:tcW w:w="1660" w:type="dxa"/>
            <w:vAlign w:val="bottom"/>
            <w:gridSpan w:val="2"/>
            <w:shd w:val="clear" w:color="auto" w:fill="CDFFCC"/>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DFFCC"/>
          </w:tcPr>
          <w:p>
            <w:pPr>
              <w:spacing w:after="0"/>
              <w:rPr>
                <w:sz w:val="19"/>
                <w:szCs w:val="19"/>
                <w:color w:val="auto"/>
              </w:rPr>
            </w:pP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6</w:t>
            </w:r>
          </w:p>
        </w:tc>
      </w:tr>
      <w:tr>
        <w:trPr>
          <w:trHeight w:val="230"/>
        </w:trPr>
        <w:tc>
          <w:tcPr>
            <w:tcW w:w="7060" w:type="dxa"/>
            <w:vAlign w:val="bottom"/>
            <w:tcBorders>
              <w:bottom w:val="single" w:sz="8" w:color="CDFFCC"/>
            </w:tcBorders>
            <w:gridSpan w:val="2"/>
          </w:tcPr>
          <w:p>
            <w:pPr>
              <w:ind w:left="100"/>
              <w:spacing w:after="0"/>
              <w:rPr>
                <w:sz w:val="20"/>
                <w:szCs w:val="20"/>
                <w:color w:val="auto"/>
              </w:rPr>
            </w:pPr>
            <w:r>
              <w:rPr>
                <w:rFonts w:ascii="Arial" w:cs="Arial" w:eastAsia="Arial" w:hAnsi="Arial"/>
                <w:sz w:val="18"/>
                <w:szCs w:val="18"/>
                <w:color w:val="auto"/>
              </w:rPr>
              <w:t>Business combination-related costs and fair value adjustments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D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gridSpan w:val="2"/>
            <w:shd w:val="clear" w:color="auto" w:fill="CDFFCC"/>
          </w:tcPr>
          <w:p>
            <w:pPr>
              <w:ind w:left="2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160</w:t>
            </w:r>
          </w:p>
        </w:tc>
      </w:tr>
      <w:tr>
        <w:trPr>
          <w:trHeight w:val="162"/>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9"/>
        </w:trPr>
        <w:tc>
          <w:tcPr>
            <w:tcW w:w="7060" w:type="dxa"/>
            <w:vAlign w:val="bottom"/>
            <w:gridSpan w:val="2"/>
            <w:shd w:val="clear" w:color="auto" w:fill="CDFFCC"/>
          </w:tcPr>
          <w:p>
            <w:pPr>
              <w:ind w:left="20"/>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953</w:t>
            </w:r>
          </w:p>
        </w:tc>
      </w:tr>
      <w:tr>
        <w:trPr>
          <w:trHeight w:val="247"/>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16.8 %</w:t>
            </w:r>
          </w:p>
        </w:tc>
      </w:tr>
    </w:tbl>
    <w:p>
      <w:pPr>
        <w:spacing w:after="0" w:line="64" w:lineRule="exact"/>
        <w:rPr>
          <w:sz w:val="20"/>
          <w:szCs w:val="20"/>
          <w:color w:val="auto"/>
        </w:rPr>
      </w:pPr>
    </w:p>
    <w:p>
      <w:pPr>
        <w:ind w:right="2740" w:firstLine="8"/>
        <w:spacing w:after="0" w:line="259" w:lineRule="auto"/>
        <w:tabs>
          <w:tab w:leader="none" w:pos="162" w:val="left"/>
        </w:tabs>
        <w:numPr>
          <w:ilvl w:val="0"/>
          <w:numId w:val="6"/>
        </w:numPr>
        <w:rPr>
          <w:rFonts w:ascii="Arial" w:cs="Arial" w:eastAsia="Arial" w:hAnsi="Arial"/>
          <w:sz w:val="11"/>
          <w:szCs w:val="11"/>
          <w:color w:val="auto"/>
        </w:rPr>
      </w:pPr>
      <w:r>
        <w:rPr>
          <w:rFonts w:ascii="Arial" w:cs="Arial" w:eastAsia="Arial" w:hAnsi="Arial"/>
          <w:sz w:val="11"/>
          <w:szCs w:val="11"/>
          <w:color w:val="auto"/>
        </w:rPr>
        <w:t>Excludes those depreciation-related amounts which were included as part of the business combination-related adjustments and Restructuring-related charges and other costs. Percentages are based on actual values and may not reconcile due to rounding.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free cash flow conversion for the three months ended March 31, 2025 and 2024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(in millions, except percentages)</w:t>
            </w:r>
          </w:p>
        </w:tc>
        <w:tc>
          <w:tcPr>
            <w:tcW w:w="480" w:type="dxa"/>
            <w:vAlign w:val="bottom"/>
          </w:tcPr>
          <w:p>
            <w:pPr>
              <w:spacing w:after="0"/>
              <w:rPr>
                <w:sz w:val="19"/>
                <w:szCs w:val="19"/>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50"/>
              <w:spacing w:after="0"/>
              <w:rPr>
                <w:sz w:val="20"/>
                <w:szCs w:val="20"/>
                <w:color w:val="auto"/>
              </w:rPr>
            </w:pPr>
            <w:r>
              <w:rPr>
                <w:rFonts w:ascii="Arial" w:cs="Arial" w:eastAsia="Arial" w:hAnsi="Arial"/>
                <w:sz w:val="18"/>
                <w:szCs w:val="18"/>
                <w:color w:val="auto"/>
              </w:rPr>
              <w:t>2024</w:t>
            </w:r>
          </w:p>
        </w:tc>
      </w:tr>
      <w:tr>
        <w:trPr>
          <w:trHeight w:val="75"/>
        </w:trPr>
        <w:tc>
          <w:tcPr>
            <w:tcW w:w="69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r>
      <w:tr>
        <w:trPr>
          <w:trHeight w:val="229"/>
        </w:trPr>
        <w:tc>
          <w:tcPr>
            <w:tcW w:w="6980" w:type="dxa"/>
            <w:vAlign w:val="bottom"/>
            <w:gridSpan w:val="2"/>
            <w:shd w:val="clear" w:color="auto" w:fill="CDFFC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19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210"/>
              <w:spacing w:after="0"/>
              <w:rPr>
                <w:sz w:val="20"/>
                <w:szCs w:val="20"/>
                <w:color w:val="auto"/>
              </w:rPr>
            </w:pPr>
            <w:r>
              <w:rPr>
                <w:rFonts w:ascii="Arial" w:cs="Arial" w:eastAsia="Arial" w:hAnsi="Arial"/>
                <w:sz w:val="18"/>
                <w:szCs w:val="18"/>
                <w:color w:val="auto"/>
              </w:rPr>
              <w:t>25</w:t>
            </w:r>
          </w:p>
        </w:tc>
      </w:tr>
      <w:tr>
        <w:trPr>
          <w:trHeight w:val="230"/>
        </w:trPr>
        <w:tc>
          <w:tcPr>
            <w:tcW w:w="6980" w:type="dxa"/>
            <w:vAlign w:val="bottom"/>
            <w:tcBorders>
              <w:bottom w:val="single" w:sz="8" w:color="CDFFCC"/>
            </w:tcBorders>
            <w:gridSpan w:val="2"/>
          </w:tcPr>
          <w:p>
            <w:pPr>
              <w:ind w:left="20"/>
              <w:spacing w:after="0"/>
              <w:rPr>
                <w:sz w:val="20"/>
                <w:szCs w:val="20"/>
                <w:color w:val="auto"/>
              </w:rPr>
            </w:pPr>
            <w:r>
              <w:rPr>
                <w:rFonts w:ascii="Arial" w:cs="Arial" w:eastAsia="Arial" w:hAnsi="Arial"/>
                <w:sz w:val="18"/>
                <w:szCs w:val="18"/>
                <w:color w:val="auto"/>
              </w:rPr>
              <w:t>Capital expenditures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D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r>
      <w:tr>
        <w:trPr>
          <w:trHeight w:val="223"/>
        </w:trPr>
        <w:tc>
          <w:tcPr>
            <w:tcW w:w="6980" w:type="dxa"/>
            <w:vAlign w:val="bottom"/>
            <w:gridSpan w:val="2"/>
            <w:shd w:val="clear" w:color="auto" w:fill="CDFFCC"/>
          </w:tcPr>
          <w:p>
            <w:pPr>
              <w:ind w:left="20"/>
              <w:spacing w:after="0"/>
              <w:rPr>
                <w:sz w:val="20"/>
                <w:szCs w:val="20"/>
                <w:color w:val="auto"/>
              </w:rPr>
            </w:pPr>
            <w:r>
              <w:rPr>
                <w:rFonts w:ascii="Arial" w:cs="Arial" w:eastAsia="Arial" w:hAnsi="Arial"/>
                <w:sz w:val="18"/>
                <w:szCs w:val="18"/>
                <w:color w:val="auto"/>
              </w:rPr>
              <w:t>Adjusted free cash flow</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150"/>
              <w:spacing w:after="0"/>
              <w:rPr>
                <w:sz w:val="20"/>
                <w:szCs w:val="20"/>
                <w:color w:val="auto"/>
              </w:rPr>
            </w:pPr>
            <w:r>
              <w:rPr>
                <w:rFonts w:ascii="Arial" w:cs="Arial" w:eastAsia="Arial" w:hAnsi="Arial"/>
                <w:sz w:val="18"/>
                <w:szCs w:val="18"/>
                <w:color w:val="auto"/>
              </w:rPr>
              <w:t>(9)</w:t>
            </w:r>
          </w:p>
        </w:tc>
      </w:tr>
      <w:tr>
        <w:trPr>
          <w:trHeight w:val="162"/>
        </w:trPr>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6980" w:type="dxa"/>
            <w:vAlign w:val="bottom"/>
            <w:gridSpan w:val="2"/>
            <w:shd w:val="clear" w:color="auto" w:fill="CDFFCC"/>
          </w:tcPr>
          <w:p>
            <w:pPr>
              <w:ind w:left="20"/>
              <w:spacing w:after="0"/>
              <w:rPr>
                <w:sz w:val="20"/>
                <w:szCs w:val="20"/>
                <w:color w:val="auto"/>
              </w:rPr>
            </w:pPr>
            <w:r>
              <w:rPr>
                <w:rFonts w:ascii="Arial" w:cs="Arial" w:eastAsia="Arial" w:hAnsi="Arial"/>
                <w:sz w:val="18"/>
                <w:szCs w:val="18"/>
                <w:color w:val="auto"/>
              </w:rPr>
              <w:t>Adjusted net income</w:t>
            </w: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19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DFFCC"/>
          </w:tcPr>
          <w:p>
            <w:pPr>
              <w:spacing w:after="0"/>
              <w:rPr>
                <w:sz w:val="19"/>
                <w:szCs w:val="19"/>
                <w:color w:val="auto"/>
              </w:rPr>
            </w:pPr>
          </w:p>
        </w:tc>
        <w:tc>
          <w:tcPr>
            <w:tcW w:w="480" w:type="dxa"/>
            <w:vAlign w:val="bottom"/>
            <w:shd w:val="clear" w:color="auto" w:fill="CDFFCC"/>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DFFCC"/>
          </w:tcPr>
          <w:p>
            <w:pPr>
              <w:jc w:val="right"/>
              <w:ind w:right="210"/>
              <w:spacing w:after="0"/>
              <w:rPr>
                <w:sz w:val="20"/>
                <w:szCs w:val="20"/>
                <w:color w:val="auto"/>
              </w:rPr>
            </w:pPr>
            <w:r>
              <w:rPr>
                <w:rFonts w:ascii="Arial" w:cs="Arial" w:eastAsia="Arial" w:hAnsi="Arial"/>
                <w:sz w:val="18"/>
                <w:szCs w:val="18"/>
                <w:color w:val="auto"/>
              </w:rPr>
              <w:t>87</w:t>
            </w:r>
          </w:p>
        </w:tc>
      </w:tr>
      <w:tr>
        <w:trPr>
          <w:trHeight w:val="247"/>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free cash flow conversion</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Percentages are based on actual values and may not reconcile due to rounding.</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2025-05-08T06:30:06Z</dcterms:created>
  <dcterms:modified xsi:type="dcterms:W3CDTF">2025-05-08T06:30:06Z</dcterms:modified>
</cp:coreProperties>
</file>