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Czerney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968"/>
        <w:gridCol w:w="446"/>
        <w:gridCol w:w="609"/>
        <w:gridCol w:w="1358"/>
        <w:gridCol w:w="98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41,268.908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14.78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consists entirely of Restricted Stock Units (RSUs) which vest in annual one-third (1/3) increments over a three-year (3) period ending March 4,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annual one-third (1/3) increments over a three-year (3) period ending March 4, 2029, with an exercise price equal to 110% of the closing price of the Issuer's common stock as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Kevin Czerney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4443" TargetMode="External"/><Relationship Id="rId5" Type="http://schemas.openxmlformats.org/officeDocument/2006/relationships/hyperlink" Target="http://www.sec.gov/cgi-bin/browse-edgar?action=getcompany&amp;CIK=00008184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3524</Characters>
  <CharactersWithSpaces>4104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