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-614680</wp:posOffset>
            </wp:positionV>
            <wp:extent cx="57785" cy="6280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3941445</wp:posOffset>
            </wp:positionH>
            <wp:positionV relativeFrom="paragraph">
              <wp:posOffset>-614680</wp:posOffset>
            </wp:positionV>
            <wp:extent cx="57785" cy="628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727710</wp:posOffset>
            </wp:positionV>
            <wp:extent cx="7047865" cy="4618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61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Frohning Andrea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77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DENTSPLY SIRONA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XRAY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DENTSPLY SIRONA INC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13320-B BALLANTYNE CORPORATE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19"/>
        <w:spacing w:after="0"/>
        <w:tabs>
          <w:tab w:leader="none" w:pos="205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18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CHRO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1"/>
            <w:col w:w="3339"/>
          </w:cols>
          <w:pgMar w:left="460" w:top="21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NC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28277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03/04/2026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6"/>
              </w:rPr>
              <w:t>26,786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63,992.252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121,600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121,600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consists entirely of Restricted Stock Units (RSUs) which vest in annual one-third (1/3) increments over a three-year (3) period ending March 4, 2029.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1"/>
        <w:spacing w:after="0" w:line="247" w:lineRule="auto"/>
        <w:tabs>
          <w:tab w:leader="none" w:pos="166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one-third (1/3) increments over a three-year (3) period ending March 4, 2029, with an exercise price equal to 110% of the closing price of the Issuer's common stock as of the date of grant.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Jessica Nielsen Causey,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-3810</wp:posOffset>
            </wp:positionV>
            <wp:extent cx="11125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Andrea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03/06/2026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8732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Frohning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382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3740" w:hanging="1"/>
        <w:spacing w:after="0" w:line="329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91945" TargetMode="External"/><Relationship Id="rId14" Type="http://schemas.openxmlformats.org/officeDocument/2006/relationships/hyperlink" Target="http://www.sec.gov/cgi-bin/browse-edgar?action=getcompany&amp;CIK=00008184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2026-03-06T16:29:47Z</dcterms:created>
  <dcterms:modified xsi:type="dcterms:W3CDTF">2026-03-06T16:29:47Z</dcterms:modified>
</cp:coreProperties>
</file>