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color w:val="auto"/>
        </w:rPr>
        <w:t>As filed with the Securities and Exchange Commission on June 26, 2026</w:t>
      </w:r>
    </w:p>
    <w:p>
      <w:pPr>
        <w:spacing w:after="0" w:line="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1"/>
          <w:szCs w:val="1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09422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4220" cy="1333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S-8</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ind w:right="-19"/>
        <w:spacing w:after="0" w:line="221" w:lineRule="auto"/>
        <w:rPr>
          <w:sz w:val="20"/>
          <w:szCs w:val="20"/>
          <w:color w:val="auto"/>
        </w:rPr>
      </w:pPr>
      <w:r>
        <w:rPr>
          <w:rFonts w:ascii="Times New Roman" w:cs="Times New Roman" w:eastAsia="Times New Roman" w:hAnsi="Times New Roman"/>
          <w:sz w:val="11"/>
          <w:szCs w:val="11"/>
          <w:b w:val="1"/>
          <w:bCs w:val="1"/>
          <w:color w:val="auto"/>
        </w:rPr>
        <w:t>UNDER</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THE SECURITIES ACT OF 1933</w:t>
      </w: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DENTSPLY SIRONA Inc.</w:t>
      </w:r>
    </w:p>
    <w:p>
      <w:pPr>
        <w:sectPr>
          <w:pgSz w:w="11900" w:h="16838" w:orient="portrait"/>
          <w:cols w:equalWidth="0" w:num="1">
            <w:col w:w="11280"/>
          </w:cols>
          <w:pgMar w:left="300" w:top="854" w:right="319" w:bottom="1440" w:gutter="0" w:footer="0" w:header="0"/>
        </w:sectPr>
      </w:pPr>
    </w:p>
    <w:p>
      <w:pPr>
        <w:spacing w:after="0" w:line="29" w:lineRule="exact"/>
        <w:rPr>
          <w:sz w:val="24"/>
          <w:szCs w:val="24"/>
          <w:color w:val="auto"/>
        </w:rPr>
      </w:pPr>
    </w:p>
    <w:p>
      <w:pPr>
        <w:jc w:val="right"/>
        <w:ind w:right="3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32"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3"/>
          <w:szCs w:val="13"/>
          <w:color w:val="auto"/>
        </w:rPr>
        <w:t>(State or other jurisdiction of</w:t>
      </w:r>
    </w:p>
    <w:p>
      <w:pPr>
        <w:spacing w:after="0" w:line="3"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27" w:lineRule="exact"/>
        <w:rPr>
          <w:sz w:val="24"/>
          <w:szCs w:val="24"/>
          <w:color w:val="auto"/>
        </w:rPr>
      </w:pPr>
    </w:p>
    <w:p>
      <w:pPr>
        <w:jc w:val="center"/>
        <w:ind w:left="4000"/>
        <w:spacing w:after="0"/>
        <w:rPr>
          <w:sz w:val="20"/>
          <w:szCs w:val="20"/>
          <w:color w:val="auto"/>
        </w:rPr>
      </w:pPr>
      <w:r>
        <w:rPr>
          <w:rFonts w:ascii="Times New Roman" w:cs="Times New Roman" w:eastAsia="Times New Roman" w:hAnsi="Times New Roman"/>
          <w:sz w:val="13"/>
          <w:szCs w:val="13"/>
          <w:b w:val="1"/>
          <w:bCs w:val="1"/>
          <w:color w:val="auto"/>
        </w:rPr>
        <w:t>13320 Ballantyne Corporate Place</w:t>
      </w:r>
    </w:p>
    <w:p>
      <w:pPr>
        <w:spacing w:after="0" w:line="15" w:lineRule="exact"/>
        <w:rPr>
          <w:sz w:val="24"/>
          <w:szCs w:val="24"/>
          <w:color w:val="auto"/>
        </w:rPr>
      </w:pPr>
    </w:p>
    <w:p>
      <w:pPr>
        <w:jc w:val="center"/>
        <w:ind w:left="4000"/>
        <w:spacing w:after="0"/>
        <w:rPr>
          <w:sz w:val="20"/>
          <w:szCs w:val="20"/>
          <w:color w:val="auto"/>
        </w:rPr>
      </w:pPr>
      <w:r>
        <w:rPr>
          <w:rFonts w:ascii="Times New Roman" w:cs="Times New Roman" w:eastAsia="Times New Roman" w:hAnsi="Times New Roman"/>
          <w:sz w:val="13"/>
          <w:szCs w:val="13"/>
          <w:b w:val="1"/>
          <w:bCs w:val="1"/>
          <w:color w:val="auto"/>
        </w:rPr>
        <w:t>Charlotte, North Carolina 28277-3607</w:t>
      </w:r>
    </w:p>
    <w:p>
      <w:pPr>
        <w:spacing w:after="0" w:line="2"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3"/>
          <w:szCs w:val="13"/>
          <w:b w:val="1"/>
          <w:bCs w:val="1"/>
          <w:color w:val="auto"/>
        </w:rPr>
        <w:t>39-1434669</w:t>
      </w:r>
    </w:p>
    <w:p>
      <w:pPr>
        <w:spacing w:after="0" w:line="1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901" w:lineRule="exact"/>
        <w:rPr>
          <w:sz w:val="24"/>
          <w:szCs w:val="24"/>
          <w:color w:val="auto"/>
        </w:rPr>
      </w:pPr>
    </w:p>
    <w:p>
      <w:pPr>
        <w:sectPr>
          <w:pgSz w:w="11900" w:h="16838" w:orient="portrait"/>
          <w:cols w:equalWidth="0" w:num="2">
            <w:col w:w="7280" w:space="720"/>
            <w:col w:w="3280"/>
          </w:cols>
          <w:pgMar w:left="300" w:top="854" w:right="319" w:bottom="1440" w:gutter="0" w:footer="0" w:header="0"/>
          <w:type w:val="continuous"/>
        </w:sectPr>
      </w:pP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DENTSPLY SIRONA Inc. 2024 Omnibus Incentive Plan (as amended as of June 2, 2026)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(Full title of the plan)</w:t>
      </w:r>
    </w:p>
    <w:p>
      <w:pPr>
        <w:spacing w:after="0" w:line="203"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3"/>
          <w:szCs w:val="13"/>
          <w:b w:val="1"/>
          <w:bCs w:val="1"/>
          <w:color w:val="auto"/>
        </w:rPr>
        <w:t>Lindi Barton-Brobst</w:t>
      </w:r>
    </w:p>
    <w:p>
      <w:pPr>
        <w:spacing w:after="0" w:line="3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color w:val="auto"/>
        </w:rPr>
        <w:t>Senior Vice President, General Counsel and Secretary</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color w:val="auto"/>
        </w:rPr>
        <w:t>DENTSPLY SIRONA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13320 Ballantyne Corporate Place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Charlotte, North Carolina 28277-3607</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(844) 848 - 0137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(Name, address and telephone number,</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including area code, of agent for service)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With copies to:</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3"/>
          <w:szCs w:val="13"/>
          <w:b w:val="1"/>
          <w:bCs w:val="1"/>
          <w:color w:val="auto"/>
        </w:rPr>
        <w:t>Lillian Tsu &amp; Julia L. Petty</w:t>
      </w:r>
    </w:p>
    <w:p>
      <w:pPr>
        <w:spacing w:after="0" w:line="3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3"/>
          <w:szCs w:val="13"/>
          <w:color w:val="auto"/>
        </w:rPr>
        <w:t>Cleary Gottlieb Steen &amp; Hamilton LLP</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One Liberty Plaza</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New York, New York 10006</w:t>
      </w:r>
    </w:p>
    <w:p>
      <w:pPr>
        <w:spacing w:after="0" w:line="20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86" w:lineRule="exact"/>
        <w:rPr>
          <w:sz w:val="24"/>
          <w:szCs w:val="24"/>
          <w:color w:val="auto"/>
        </w:rPr>
      </w:pPr>
    </w:p>
    <w:p>
      <w:pPr>
        <w:ind w:right="160"/>
        <w:spacing w:after="0" w:line="175" w:lineRule="exact"/>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2 of the Exchange Act.</w:t>
      </w:r>
    </w:p>
    <w:p>
      <w:pPr>
        <w:spacing w:after="0" w:line="53" w:lineRule="exact"/>
        <w:rPr>
          <w:sz w:val="24"/>
          <w:szCs w:val="24"/>
          <w:color w:val="auto"/>
        </w:rPr>
      </w:pPr>
    </w:p>
    <w:p>
      <w:pPr>
        <w:spacing w:after="0" w:line="127" w:lineRule="exact"/>
        <w:tabs>
          <w:tab w:leader="none" w:pos="112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Accelerated filer</w:t>
      </w:r>
      <w:r>
        <w:rPr>
          <w:rFonts w:ascii="MS PGothic" w:cs="MS PGothic" w:eastAsia="MS PGothic" w:hAnsi="MS PGothic"/>
          <w:sz w:val="11"/>
          <w:szCs w:val="11"/>
          <w:color w:val="auto"/>
        </w:rPr>
        <w:t xml:space="preserve">  ☐</w:t>
      </w:r>
    </w:p>
    <w:p>
      <w:pPr>
        <w:spacing w:after="0" w:line="75" w:lineRule="exact"/>
        <w:rPr>
          <w:sz w:val="24"/>
          <w:szCs w:val="24"/>
          <w:color w:val="auto"/>
        </w:rPr>
      </w:pPr>
    </w:p>
    <w:p>
      <w:pPr>
        <w:spacing w:after="0" w:line="127" w:lineRule="exact"/>
        <w:tabs>
          <w:tab w:leader="none" w:pos="1060" w:val="left"/>
        </w:tabs>
        <w:rPr>
          <w:sz w:val="20"/>
          <w:szCs w:val="20"/>
          <w:color w:val="auto"/>
        </w:rPr>
      </w:pPr>
      <w:r>
        <w:rPr>
          <w:rFonts w:ascii="Times New Roman" w:cs="Times New Roman" w:eastAsia="Times New Roman" w:hAnsi="Times New Roman"/>
          <w:sz w:val="11"/>
          <w:szCs w:val="11"/>
          <w:color w:val="auto"/>
        </w:rPr>
        <w:t>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accelerated filer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(Do not check if a smaller reporting company)  Smaller reporting company</w:t>
      </w:r>
      <w:r>
        <w:rPr>
          <w:rFonts w:ascii="MS PGothic" w:cs="MS PGothic" w:eastAsia="MS PGothic" w:hAnsi="MS PGothic"/>
          <w:sz w:val="11"/>
          <w:szCs w:val="11"/>
          <w:color w:val="auto"/>
        </w:rPr>
        <w:t xml:space="preserve">  ☐</w:t>
      </w:r>
    </w:p>
    <w:p>
      <w:pPr>
        <w:spacing w:after="0" w:line="75" w:lineRule="exact"/>
        <w:rPr>
          <w:sz w:val="24"/>
          <w:szCs w:val="24"/>
          <w:color w:val="auto"/>
        </w:rPr>
      </w:pPr>
    </w:p>
    <w:p>
      <w:pPr>
        <w:spacing w:after="0" w:line="127" w:lineRule="exact"/>
        <w:tabs>
          <w:tab w:leader="none" w:pos="1340" w:val="left"/>
        </w:tabs>
        <w:rPr>
          <w:sz w:val="20"/>
          <w:szCs w:val="20"/>
          <w:color w:val="auto"/>
        </w:rPr>
      </w:pP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33" w:lineRule="exact"/>
        <w:rPr>
          <w:sz w:val="24"/>
          <w:szCs w:val="24"/>
          <w:color w:val="auto"/>
        </w:rPr>
      </w:pPr>
    </w:p>
    <w:p>
      <w:pPr>
        <w:ind w:right="320"/>
        <w:spacing w:after="0" w:line="162"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162560</wp:posOffset>
            </wp:positionV>
            <wp:extent cx="709422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4220" cy="13335"/>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0" w:lineRule="exact"/>
        <w:rPr>
          <w:sz w:val="20"/>
          <w:szCs w:val="20"/>
          <w:color w:val="auto"/>
        </w:rPr>
      </w:pPr>
    </w:p>
    <w:p>
      <w:pPr>
        <w:jc w:val="both"/>
        <w:ind w:firstLine="255"/>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Pursuant to General Instruction E of Form S-8, DENTSPLY SIRONA Inc. (the “Registrant”) is filing this registration statement on Form S-8 (this “Registration Statement”) with the U.S. Securities and Exchange Commission (the “Commission”) to register, in connection with the Registrant’s 2024 Omnibus Incentive Plan (as amended as of June 2, 2026), an additional 15,000,000 shares of the same class as registered under the Registrant’s effective registration statements on Form S-8, File Nos. </w:t>
      </w:r>
      <w:hyperlink r:id="rId10">
        <w:r>
          <w:rPr>
            <w:rFonts w:ascii="Times New Roman" w:cs="Times New Roman" w:eastAsia="Times New Roman" w:hAnsi="Times New Roman"/>
            <w:sz w:val="14"/>
            <w:szCs w:val="14"/>
            <w:u w:val="single" w:color="auto"/>
            <w:color w:val="0000FF"/>
          </w:rPr>
          <w:t>333-279714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1">
        <w:r>
          <w:rPr>
            <w:rFonts w:ascii="Times New Roman" w:cs="Times New Roman" w:eastAsia="Times New Roman" w:hAnsi="Times New Roman"/>
            <w:sz w:val="14"/>
            <w:szCs w:val="14"/>
            <w:u w:val="single" w:color="auto"/>
            <w:color w:val="0000FF"/>
          </w:rPr>
          <w:t>333-288453</w:t>
        </w:r>
      </w:hyperlink>
      <w:r>
        <w:rPr>
          <w:rFonts w:ascii="Times New Roman" w:cs="Times New Roman" w:eastAsia="Times New Roman" w:hAnsi="Times New Roman"/>
          <w:sz w:val="14"/>
          <w:szCs w:val="14"/>
          <w:color w:val="auto"/>
        </w:rPr>
        <w:t>, filed with the Commission on May 24, 2024 and July 1, 2025, respectively (the “Earlier Registration Statement”). The contents of the Earlier Registration Statements, where applicable, are hereby incorporated by reference, except that the provisions contained in Part II of such Earlier Registration Statement are modified as set forth in this Registration Statement.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REQUIRED IN THE REGISTRATION STATEMENT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Incorporation of Documents by Reference.</w:t>
      </w:r>
    </w:p>
    <w:p>
      <w:pPr>
        <w:spacing w:after="0" w:line="181" w:lineRule="exact"/>
        <w:rPr>
          <w:sz w:val="20"/>
          <w:szCs w:val="20"/>
          <w:color w:val="auto"/>
        </w:rPr>
      </w:pPr>
    </w:p>
    <w:p>
      <w:pPr>
        <w:ind w:right="80" w:firstLine="509"/>
        <w:spacing w:after="0" w:line="334" w:lineRule="auto"/>
        <w:rPr>
          <w:sz w:val="20"/>
          <w:szCs w:val="20"/>
          <w:color w:val="auto"/>
        </w:rPr>
      </w:pPr>
      <w:r>
        <w:rPr>
          <w:rFonts w:ascii="Times New Roman" w:cs="Times New Roman" w:eastAsia="Times New Roman" w:hAnsi="Times New Roman"/>
          <w:sz w:val="14"/>
          <w:szCs w:val="14"/>
          <w:color w:val="auto"/>
        </w:rPr>
        <w:t>The following documents, as filed by the Registrant with the Commission pursuant to the Securities Exchange Act of 1934, as amended (the “Exchange Act”), are incorporated by reference in this Registration Statement:</w:t>
      </w:r>
    </w:p>
    <w:p>
      <w:pPr>
        <w:spacing w:after="0" w:line="93" w:lineRule="exact"/>
        <w:rPr>
          <w:sz w:val="20"/>
          <w:szCs w:val="20"/>
          <w:color w:val="auto"/>
        </w:rPr>
      </w:pPr>
    </w:p>
    <w:p>
      <w:pPr>
        <w:ind w:left="760" w:hanging="246"/>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Annual Report on </w:t>
      </w:r>
      <w:hyperlink r:id="rId12">
        <w:r>
          <w:rPr>
            <w:rFonts w:ascii="Times New Roman" w:cs="Times New Roman" w:eastAsia="Times New Roman" w:hAnsi="Times New Roman"/>
            <w:sz w:val="14"/>
            <w:szCs w:val="14"/>
            <w:u w:val="single" w:color="auto"/>
            <w:color w:val="0000FF"/>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Commission on February 26, 2026;</w:t>
      </w:r>
    </w:p>
    <w:p>
      <w:pPr>
        <w:spacing w:after="0" w:line="2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Registrant’s Quarterly Report on </w:t>
      </w:r>
      <w:hyperlink r:id="rId13">
        <w:r>
          <w:rPr>
            <w:rFonts w:ascii="Times New Roman" w:cs="Times New Roman" w:eastAsia="Times New Roman" w:hAnsi="Times New Roman"/>
            <w:sz w:val="14"/>
            <w:szCs w:val="14"/>
            <w:u w:val="single" w:color="auto"/>
            <w:color w:val="0000FF"/>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Commission on May 5, 2026;</w:t>
      </w:r>
    </w:p>
    <w:p>
      <w:pPr>
        <w:spacing w:after="0" w:line="40" w:lineRule="exact"/>
        <w:rPr>
          <w:rFonts w:ascii="Times New Roman" w:cs="Times New Roman" w:eastAsia="Times New Roman" w:hAnsi="Times New Roman"/>
          <w:sz w:val="14"/>
          <w:szCs w:val="14"/>
          <w:color w:val="auto"/>
        </w:rPr>
      </w:pPr>
    </w:p>
    <w:p>
      <w:pPr>
        <w:ind w:left="760" w:right="340" w:hanging="246"/>
        <w:spacing w:after="0" w:line="292" w:lineRule="auto"/>
        <w:tabs>
          <w:tab w:leader="none" w:pos="75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Current Reports on Form 8-K filed with the Commission on January 13, 2026 (excluding Item 7.01 and Exhibit 99.1), February 24, 2026 (excluding Item 7.01 and Exhibit 99.1), June 4, 2026, and June 11, 2026 (excluding Item 7.01 and Exhibit 99.1); and</w:t>
      </w:r>
    </w:p>
    <w:p>
      <w:pPr>
        <w:ind w:left="760" w:right="540" w:hanging="246"/>
        <w:spacing w:after="0" w:line="319" w:lineRule="auto"/>
        <w:tabs>
          <w:tab w:leader="none" w:pos="755"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the Registrant’s Common Stock, par value $0.01 per share, contained in </w:t>
      </w:r>
      <w:hyperlink r:id="rId14">
        <w:r>
          <w:rPr>
            <w:rFonts w:ascii="Times New Roman" w:cs="Times New Roman" w:eastAsia="Times New Roman" w:hAnsi="Times New Roman"/>
            <w:sz w:val="14"/>
            <w:szCs w:val="14"/>
            <w:u w:val="single" w:color="auto"/>
            <w:color w:val="0000FF"/>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Registrant’s Annual Report on Form 10-K for the fiscal year ended December 31, 2019, filed with the Commission on March 2, 2020, including any amendment or report filed for the purpose of updating such description.</w:t>
      </w:r>
    </w:p>
    <w:p>
      <w:pPr>
        <w:spacing w:after="0" w:line="92" w:lineRule="exact"/>
        <w:rPr>
          <w:rFonts w:ascii="Times New Roman" w:cs="Times New Roman" w:eastAsia="Times New Roman" w:hAnsi="Times New Roman"/>
          <w:sz w:val="14"/>
          <w:szCs w:val="14"/>
          <w:color w:val="auto"/>
        </w:rPr>
      </w:pPr>
    </w:p>
    <w:p>
      <w:pPr>
        <w:jc w:val="both"/>
        <w:ind w:firstLine="255"/>
        <w:spacing w:after="0" w:line="174" w:lineRule="exact"/>
        <w:rPr>
          <w:sz w:val="20"/>
          <w:szCs w:val="20"/>
          <w:color w:val="auto"/>
        </w:rPr>
      </w:pPr>
      <w:r>
        <w:rPr>
          <w:rFonts w:ascii="Times New Roman" w:cs="Times New Roman" w:eastAsia="Times New Roman" w:hAnsi="Times New Roman"/>
          <w:sz w:val="14"/>
          <w:szCs w:val="14"/>
          <w:color w:val="auto"/>
        </w:rPr>
        <w:t>In addition, all reports and other documents filed by the Registrant with the Commission pursuant to Sections 13(a), 13(c), 14 and 15(d) of the Exchange Act on or after the date of this Registration Statement and prior to the filing of a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amendment to this Registration Statement that indicates that all securities offered hereunder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document or any statement contained in this Registration Statement, in an amendment hereto or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80"/>
          </w:cols>
          <w:pgMar w:left="300" w:top="643" w:right="319" w:bottom="1440" w:gutter="0" w:footer="0" w:header="0"/>
        </w:sectPr>
      </w:pPr>
    </w:p>
    <w:bookmarkStart w:id="2" w:name="page3"/>
    <w:bookmarkEnd w:id="2"/>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3"/>
          <w:szCs w:val="13"/>
          <w:b w:val="1"/>
          <w:bCs w:val="1"/>
          <w:color w:val="auto"/>
        </w:rPr>
        <w:t>Exhibits.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58"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5">
        <w:r>
          <w:rPr>
            <w:rFonts w:ascii="Times New Roman" w:cs="Times New Roman" w:eastAsia="Times New Roman" w:hAnsi="Times New Roman"/>
            <w:sz w:val="14"/>
            <w:szCs w:val="14"/>
            <w:u w:val="single" w:color="auto"/>
            <w:color w:val="0000FF"/>
          </w:rPr>
          <w:t>4.1</w:t>
        </w:r>
      </w:hyperlink>
    </w:p>
    <w:p>
      <w:pPr>
        <w:spacing w:after="0" w:line="295"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6">
        <w:r>
          <w:rPr>
            <w:rFonts w:ascii="Times New Roman" w:cs="Times New Roman" w:eastAsia="Times New Roman" w:hAnsi="Times New Roman"/>
            <w:sz w:val="14"/>
            <w:szCs w:val="14"/>
            <w:u w:val="single" w:color="auto"/>
            <w:color w:val="0000FF"/>
          </w:rPr>
          <w:t>4.2</w:t>
        </w:r>
      </w:hyperlink>
    </w:p>
    <w:p>
      <w:pPr>
        <w:spacing w:after="0" w:line="295"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7">
        <w:r>
          <w:rPr>
            <w:rFonts w:ascii="Times New Roman" w:cs="Times New Roman" w:eastAsia="Times New Roman" w:hAnsi="Times New Roman"/>
            <w:sz w:val="14"/>
            <w:szCs w:val="14"/>
            <w:u w:val="single" w:color="auto"/>
            <w:color w:val="0000FF"/>
          </w:rPr>
          <w:t>4.3</w:t>
        </w:r>
      </w:hyperlink>
    </w:p>
    <w:p>
      <w:pPr>
        <w:spacing w:after="0" w:line="295"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8">
        <w:r>
          <w:rPr>
            <w:rFonts w:ascii="Times New Roman" w:cs="Times New Roman" w:eastAsia="Times New Roman" w:hAnsi="Times New Roman"/>
            <w:sz w:val="14"/>
            <w:szCs w:val="14"/>
            <w:u w:val="single" w:color="auto"/>
            <w:color w:val="0000FF"/>
          </w:rPr>
          <w:t>4.4</w:t>
        </w:r>
      </w:hyperlink>
    </w:p>
    <w:p>
      <w:pPr>
        <w:spacing w:after="0" w:line="168"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19">
        <w:r>
          <w:rPr>
            <w:rFonts w:ascii="Times New Roman" w:cs="Times New Roman" w:eastAsia="Times New Roman" w:hAnsi="Times New Roman"/>
            <w:sz w:val="14"/>
            <w:szCs w:val="14"/>
            <w:u w:val="single" w:color="auto"/>
            <w:color w:val="0000FF"/>
          </w:rPr>
          <w:t>4.5</w:t>
        </w:r>
      </w:hyperlink>
    </w:p>
    <w:p>
      <w:pPr>
        <w:spacing w:after="0" w:line="168" w:lineRule="exact"/>
        <w:rPr>
          <w:sz w:val="20"/>
          <w:szCs w:val="20"/>
          <w:color w:val="auto"/>
        </w:rPr>
      </w:pPr>
    </w:p>
    <w:p>
      <w:pPr>
        <w:ind w:left="20"/>
        <w:spacing w:after="0"/>
        <w:rPr>
          <w:rFonts w:ascii="Times New Roman" w:cs="Times New Roman" w:eastAsia="Times New Roman" w:hAnsi="Times New Roman"/>
          <w:sz w:val="14"/>
          <w:szCs w:val="14"/>
          <w:u w:val="single" w:color="auto"/>
          <w:color w:val="0000FF"/>
        </w:rPr>
      </w:pPr>
      <w:hyperlink r:id="rId20">
        <w:r>
          <w:rPr>
            <w:rFonts w:ascii="Times New Roman" w:cs="Times New Roman" w:eastAsia="Times New Roman" w:hAnsi="Times New Roman"/>
            <w:sz w:val="14"/>
            <w:szCs w:val="14"/>
            <w:u w:val="single" w:color="auto"/>
            <w:color w:val="0000FF"/>
          </w:rPr>
          <w:t>4.6</w:t>
        </w:r>
      </w:hyperlink>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5.1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23.1</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23.2</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23.3</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24.1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107</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32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Second Amended and Restated Certificate of Incorporation of DENTSPLY International Inc. (incorporated by reference to Exhibit 3.1 to Registrant’s Annual Report on Form 10-K for the year ended December 31, 2016, filed with the Commission on March 1, 2017)</w:t>
      </w:r>
    </w:p>
    <w:p>
      <w:pPr>
        <w:spacing w:after="0" w:line="7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Certificate of Amendment to Second Amended and Restated Certificate of Incorporation of DENTSPLY SIRONA Inc. (incorporated by reference to Exhibit 3.1 to Registrant’s Current Report on Form 8-K filed with the Commission on May 23, 2018)</w:t>
      </w:r>
    </w:p>
    <w:p>
      <w:pPr>
        <w:spacing w:after="0" w:line="7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Seventh Amended and Restated By-Laws of DENTSPLY SIRONA Inc. (incorporated by reference to Exhibit 3.1 to Registrant’s Current Report on Form 8-K filed with the Commission on August 2, 2023)</w:t>
      </w:r>
    </w:p>
    <w:p>
      <w:pPr>
        <w:spacing w:after="0" w:line="2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DENTSPLY SIRONA Inc. 2024 Omnibus Incentive Plan (incorporated by reference to Exhibit 4.4 to the Registrant’s Registration Statement on Form S-8 filed with the Commission on May 24, 2024)</w:t>
      </w:r>
    </w:p>
    <w:p>
      <w:pPr>
        <w:spacing w:after="0" w:line="8"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4"/>
          <w:szCs w:val="14"/>
          <w:color w:val="auto"/>
        </w:rPr>
        <w:t>Amendment No. 1 to the DENTSPLY SIRONA Inc. 2024 Omnibus Incentive Plan (incorporated by reference to Appendix A of the Registrant’s 2025 Proxy Statement filed with the Commission on April 9, 2025)</w:t>
      </w:r>
    </w:p>
    <w:p>
      <w:pPr>
        <w:spacing w:after="0" w:line="8"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4"/>
          <w:szCs w:val="14"/>
          <w:color w:val="auto"/>
        </w:rPr>
        <w:t>Amendment No. 2 to the DENTSPLY SIRONA Inc. 2024 Omnibus Incentive Plan (incorporated by reference to Appendix A of the Registrant’s 2026 Proxy Statement filed with the Commission on April 23, 2026)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Opinion of Cleary Gottlieb Steen &amp; Hamilton LLP</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Cleary Gottlieb Steen &amp; Hamilton LLP (included in Exhibit 5.1)</w:t>
      </w:r>
    </w:p>
    <w:p>
      <w:pPr>
        <w:spacing w:after="0" w:line="83" w:lineRule="exact"/>
        <w:rPr>
          <w:sz w:val="20"/>
          <w:szCs w:val="20"/>
          <w:color w:val="auto"/>
        </w:rPr>
      </w:pPr>
    </w:p>
    <w:p>
      <w:pPr>
        <w:ind w:right="4180"/>
        <w:spacing w:after="0" w:line="285" w:lineRule="auto"/>
        <w:rPr>
          <w:sz w:val="20"/>
          <w:szCs w:val="20"/>
          <w:color w:val="auto"/>
        </w:rPr>
      </w:pPr>
      <w:r>
        <w:rPr>
          <w:rFonts w:ascii="Times New Roman" w:cs="Times New Roman" w:eastAsia="Times New Roman" w:hAnsi="Times New Roman"/>
          <w:sz w:val="14"/>
          <w:szCs w:val="14"/>
          <w:color w:val="auto"/>
        </w:rPr>
        <w:t>Consent of Independent Registered Public Accounting Firm - Deloitte &amp; Touche LLP Consent of Independent Registered Public Accounting Firm - PricewaterhouseCoopers LLP Power of Attorney (contained on signature page hereto) Filing Fee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ectPr>
          <w:pgSz w:w="11900" w:h="16838" w:orient="portrait"/>
          <w:cols w:equalWidth="0" w:num="2">
            <w:col w:w="1180" w:space="720"/>
            <w:col w:w="9380"/>
          </w:cols>
          <w:pgMar w:left="300" w:top="643" w:right="319" w:bottom="1440" w:gutter="0" w:footer="0" w:header="0"/>
        </w:sectPr>
      </w:pPr>
    </w:p>
    <w:p>
      <w:pPr>
        <w:spacing w:after="0" w:line="55" w:lineRule="exact"/>
        <w:rPr>
          <w:sz w:val="20"/>
          <w:szCs w:val="20"/>
          <w:color w:val="auto"/>
        </w:rPr>
      </w:pPr>
    </w:p>
    <w:p>
      <w:pPr>
        <w:ind w:right="40" w:firstLine="255"/>
        <w:spacing w:after="0" w:line="208" w:lineRule="exact"/>
        <w:rPr>
          <w:sz w:val="20"/>
          <w:szCs w:val="20"/>
          <w:color w:val="auto"/>
        </w:rPr>
      </w:pPr>
      <w:r>
        <w:rPr>
          <w:rFonts w:ascii="Times New Roman" w:cs="Times New Roman" w:eastAsia="Times New Roman" w:hAnsi="Times New Roman"/>
          <w:sz w:val="14"/>
          <w:szCs w:val="14"/>
          <w:color w:val="auto"/>
        </w:rPr>
        <w:t>Pursuant to the requirements of the Securities Act, the Registrant certifies that it has reasonable grounds to believe that it meets all of the requirements for filing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 and has duly caused this Registration Statement to be signed on its behalf by the undersigned, thereunto duly authorized, in Charlotte, North Carolina on the 26th day of June, 2026.</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DENTSPLY SIRONA INC.</w:t>
            </w:r>
          </w:p>
        </w:tc>
      </w:tr>
      <w:tr>
        <w:trPr>
          <w:trHeight w:val="605"/>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Date: June 26, 2026</w:t>
            </w:r>
          </w:p>
        </w:tc>
        <w:tc>
          <w:tcPr>
            <w:tcW w:w="8280" w:type="dxa"/>
            <w:vAlign w:val="bottom"/>
            <w:gridSpan w:val="2"/>
          </w:tcPr>
          <w:p>
            <w:pPr>
              <w:ind w:left="1880"/>
              <w:spacing w:after="0"/>
              <w:rPr>
                <w:sz w:val="20"/>
                <w:szCs w:val="20"/>
                <w:color w:val="auto"/>
              </w:rPr>
            </w:pPr>
            <w:r>
              <w:rPr>
                <w:rFonts w:ascii="Times New Roman" w:cs="Times New Roman" w:eastAsia="Times New Roman" w:hAnsi="Times New Roman"/>
                <w:sz w:val="14"/>
                <w:szCs w:val="14"/>
                <w:color w:val="auto"/>
                <w:w w:val="99"/>
              </w:rPr>
              <w:t>By:</w:t>
            </w:r>
            <w:r>
              <w:rPr>
                <w:rFonts w:ascii="Times New Roman" w:cs="Times New Roman" w:eastAsia="Times New Roman" w:hAnsi="Times New Roman"/>
                <w:sz w:val="14"/>
                <w:szCs w:val="14"/>
                <w:i w:val="1"/>
                <w:iCs w:val="1"/>
                <w:color w:val="auto"/>
                <w:w w:val="99"/>
              </w:rPr>
              <w:t>/s/ Daniel T. Scavilla</w:t>
            </w:r>
          </w:p>
        </w:tc>
      </w:tr>
      <w:tr>
        <w:trPr>
          <w:trHeight w:val="167"/>
        </w:trPr>
        <w:tc>
          <w:tcPr>
            <w:tcW w:w="29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Daniel T. Scavilla</w:t>
            </w:r>
          </w:p>
        </w:tc>
      </w:tr>
      <w:tr>
        <w:trPr>
          <w:trHeight w:val="184"/>
        </w:trPr>
        <w:tc>
          <w:tcPr>
            <w:tcW w:w="29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393"/>
        </w:trPr>
        <w:tc>
          <w:tcPr>
            <w:tcW w:w="2980" w:type="dxa"/>
            <w:vAlign w:val="bottom"/>
          </w:tcPr>
          <w:p>
            <w:pPr>
              <w:spacing w:after="0"/>
              <w:rPr>
                <w:sz w:val="24"/>
                <w:szCs w:val="24"/>
                <w:color w:val="auto"/>
              </w:rPr>
            </w:pPr>
          </w:p>
        </w:tc>
        <w:tc>
          <w:tcPr>
            <w:tcW w:w="828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POWER OF ATTORNEY</w:t>
            </w:r>
          </w:p>
        </w:tc>
      </w:tr>
    </w:tbl>
    <w:p>
      <w:pPr>
        <w:spacing w:after="0" w:line="18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Each person whose signature appears below appoints Daniel T. Scavilla and Lindi Barton-Brobst, each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(including post-effective amendments) to this Registration Statement and any registration statement for the same offering, filed pursuant to Rule 462 under the Securities Act, and to file the same with all exhibits thereto and all documents in connection therewith with the Commission, granting unto said attorneys-in-fact and agents full power and authority to do and perform each and every act and thing requisite and necessary to be done, as fully and for all intents and purposes as the</w:t>
      </w:r>
    </w:p>
    <w:p>
      <w:pPr>
        <w:sectPr>
          <w:pgSz w:w="11900" w:h="16838" w:orient="portrait"/>
          <w:cols w:equalWidth="0" w:num="1">
            <w:col w:w="11280"/>
          </w:cols>
          <w:pgMar w:left="300" w:top="643" w:right="3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undersigned might or could do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below by the following persons in the capacities and on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240" w:type="dxa"/>
            <w:vAlign w:val="bottom"/>
          </w:tcPr>
          <w:p>
            <w:pPr>
              <w:spacing w:after="0"/>
              <w:rPr>
                <w:sz w:val="16"/>
                <w:szCs w:val="16"/>
                <w:color w:val="auto"/>
              </w:rPr>
            </w:pPr>
          </w:p>
        </w:tc>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w:t>
            </w:r>
          </w:p>
        </w:tc>
        <w:tc>
          <w:tcPr>
            <w:tcW w:w="240" w:type="dxa"/>
            <w:vAlign w:val="bottom"/>
          </w:tcPr>
          <w:p>
            <w:pPr>
              <w:spacing w:after="0"/>
              <w:rPr>
                <w:sz w:val="16"/>
                <w:szCs w:val="16"/>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r>
      <w:tr>
        <w:trPr>
          <w:trHeight w:val="37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Daniel T. Scavilla</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 T. Scavilla</w:t>
            </w:r>
          </w:p>
        </w:tc>
        <w:tc>
          <w:tcPr>
            <w:tcW w:w="24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 Principal Financial Officer)</w:t>
            </w:r>
          </w:p>
        </w:tc>
        <w:tc>
          <w:tcPr>
            <w:tcW w:w="2000" w:type="dxa"/>
            <w:vAlign w:val="bottom"/>
          </w:tcPr>
          <w:p>
            <w:pPr>
              <w:spacing w:after="0"/>
              <w:rPr>
                <w:sz w:val="15"/>
                <w:szCs w:val="15"/>
                <w:color w:val="auto"/>
              </w:rPr>
            </w:pPr>
          </w:p>
        </w:tc>
      </w:tr>
      <w:tr>
        <w:trPr>
          <w:trHeight w:val="38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Kevin J. Czerney</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Accounting Officer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Kevin J. Czerney</w:t>
            </w:r>
          </w:p>
        </w:tc>
        <w:tc>
          <w:tcPr>
            <w:tcW w:w="240" w:type="dxa"/>
            <w:vAlign w:val="bottom"/>
          </w:tcPr>
          <w:p>
            <w:pPr>
              <w:spacing w:after="0"/>
              <w:rPr>
                <w:sz w:val="15"/>
                <w:szCs w:val="15"/>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000" w:type="dxa"/>
            <w:vAlign w:val="bottom"/>
          </w:tcPr>
          <w:p>
            <w:pPr>
              <w:spacing w:after="0"/>
              <w:rPr>
                <w:sz w:val="15"/>
                <w:szCs w:val="15"/>
                <w:color w:val="auto"/>
              </w:rPr>
            </w:pPr>
          </w:p>
        </w:tc>
      </w:tr>
      <w:tr>
        <w:trPr>
          <w:trHeight w:val="48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Gregory T. Lucier</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Gregory T. Lucier</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Michael J. Barber</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Barber</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James D. Forbes</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D. Forbes</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Brian T. Gladden</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T. Gladden</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Betsy D. Holden</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Betsy D. Holden</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Clyde R. Hosein</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Clyde R. Hosein</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Jonathan J. Mazelsky</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Jonathan J. Mazelsky</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Brian P. Mckeon</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P. Mckeon</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Leslie F. Varon</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Leslie F. Varon</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Janet S. Vergis</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Janet S. Vergis</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389"/>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Donald J. Zurbay</w:t>
            </w:r>
          </w:p>
        </w:tc>
        <w:tc>
          <w:tcPr>
            <w:tcW w:w="2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June 26, 2026</w:t>
            </w:r>
          </w:p>
        </w:tc>
      </w:tr>
      <w:tr>
        <w:trPr>
          <w:trHeight w:val="17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Donald J. Zurbay</w:t>
            </w:r>
          </w:p>
        </w:tc>
        <w:tc>
          <w:tcPr>
            <w:tcW w:w="2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ectPr>
          <w:pgSz w:w="11900" w:h="16838" w:orient="portrait"/>
          <w:cols w:equalWidth="0" w:num="1">
            <w:col w:w="11180"/>
          </w:cols>
          <w:pgMar w:left="300" w:top="634" w:right="419" w:bottom="1440" w:gutter="0" w:footer="0" w:header="0"/>
        </w:sectPr>
      </w:pPr>
    </w:p>
    <w:bookmarkStart w:id="4" w:name="page5"/>
    <w:bookmarkEnd w:id="4"/>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S-8</w:t>
      </w:r>
    </w:p>
    <w:p>
      <w:pPr>
        <w:spacing w:after="0" w:line="102" w:lineRule="exact"/>
        <w:rPr>
          <w:sz w:val="20"/>
          <w:szCs w:val="20"/>
          <w:color w:val="auto"/>
        </w:rPr>
      </w:pPr>
    </w:p>
    <w:p>
      <w:pPr>
        <w:ind w:left="3960"/>
        <w:spacing w:after="0"/>
        <w:rPr>
          <w:sz w:val="20"/>
          <w:szCs w:val="20"/>
          <w:color w:val="auto"/>
        </w:rPr>
      </w:pPr>
      <w:r>
        <w:rPr>
          <w:rFonts w:ascii="Arial" w:cs="Arial" w:eastAsia="Arial" w:hAnsi="Arial"/>
          <w:sz w:val="28"/>
          <w:szCs w:val="28"/>
          <w:b w:val="1"/>
          <w:bCs w:val="1"/>
          <w:color w:val="auto"/>
        </w:rPr>
        <w:t>DENTSPLY SIRONA Inc.</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1: Newly Registered Securities</w:t>
      </w:r>
    </w:p>
    <w:p>
      <w:pPr>
        <w:spacing w:after="0" w:line="36"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220" w:type="dxa"/>
            <w:vAlign w:val="bottom"/>
            <w:tcBorders>
              <w:top w:val="single" w:sz="8" w:color="auto"/>
              <w:left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2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10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1520" w:type="dxa"/>
            <w:vAlign w:val="bottom"/>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4"/>
                <w:szCs w:val="14"/>
                <w:color w:val="auto"/>
              </w:rPr>
            </w:pPr>
          </w:p>
        </w:tc>
        <w:tc>
          <w:tcPr>
            <w:tcW w:w="1640" w:type="dxa"/>
            <w:vAlign w:val="bottom"/>
            <w:shd w:val="clear" w:color="auto" w:fill="9ADAF6"/>
          </w:tcPr>
          <w:p>
            <w:pPr>
              <w:jc w:val="center"/>
              <w:spacing w:after="0" w:line="165"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vMerge w:val="restart"/>
            <w:shd w:val="clear" w:color="auto" w:fill="9ADAF6"/>
          </w:tcPr>
          <w:p>
            <w:pPr>
              <w:jc w:val="right"/>
              <w:ind w:right="315"/>
              <w:spacing w:after="0"/>
              <w:rPr>
                <w:sz w:val="20"/>
                <w:szCs w:val="20"/>
                <w:color w:val="auto"/>
              </w:rPr>
            </w:pPr>
            <w:r>
              <w:rPr>
                <w:rFonts w:ascii="Arial" w:cs="Arial" w:eastAsia="Arial" w:hAnsi="Arial"/>
                <w:sz w:val="17"/>
                <w:szCs w:val="17"/>
                <w:b w:val="1"/>
                <w:bCs w:val="1"/>
                <w:color w:val="auto"/>
              </w:rPr>
              <w:t>Amount of</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0" w:type="dxa"/>
            <w:vAlign w:val="bottom"/>
            <w:tcBorders>
              <w:left w:val="single" w:sz="8" w:color="auto"/>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Offering</w:t>
            </w:r>
          </w:p>
        </w:tc>
        <w:tc>
          <w:tcPr>
            <w:tcW w:w="20" w:type="dxa"/>
            <w:vAlign w:val="bottom"/>
          </w:tcPr>
          <w:p>
            <w:pPr>
              <w:spacing w:after="0"/>
              <w:rPr>
                <w:sz w:val="8"/>
                <w:szCs w:val="8"/>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 Offering</w:t>
            </w:r>
          </w:p>
        </w:tc>
        <w:tc>
          <w:tcPr>
            <w:tcW w:w="20" w:type="dxa"/>
            <w:vAlign w:val="bottom"/>
          </w:tcPr>
          <w:p>
            <w:pPr>
              <w:spacing w:after="0"/>
              <w:rPr>
                <w:sz w:val="8"/>
                <w:szCs w:val="8"/>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8"/>
                <w:szCs w:val="8"/>
                <w:color w:val="auto"/>
              </w:rPr>
            </w:pPr>
          </w:p>
        </w:tc>
        <w:tc>
          <w:tcPr>
            <w:tcW w:w="164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0" w:type="dxa"/>
            <w:vAlign w:val="bottom"/>
            <w:tcBorders>
              <w:left w:val="single" w:sz="8" w:color="auto"/>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1020" w:type="dxa"/>
            <w:vAlign w:val="bottom"/>
            <w:shd w:val="clear" w:color="auto" w:fill="9ADAF6"/>
          </w:tcPr>
          <w:p>
            <w:pPr>
              <w:ind w:left="80"/>
              <w:spacing w:after="0" w:line="170"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right"/>
              <w:spacing w:after="0" w:line="170"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15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shd w:val="clear" w:color="auto" w:fill="9ADAF6"/>
          </w:tcPr>
          <w:p>
            <w:pPr>
              <w:jc w:val="right"/>
              <w:ind w:right="75"/>
              <w:spacing w:after="0" w:line="170" w:lineRule="exact"/>
              <w:rPr>
                <w:sz w:val="20"/>
                <w:szCs w:val="20"/>
                <w:color w:val="auto"/>
              </w:rPr>
            </w:pPr>
            <w:r>
              <w:rPr>
                <w:rFonts w:ascii="Arial" w:cs="Arial" w:eastAsia="Arial" w:hAnsi="Arial"/>
                <w:sz w:val="17"/>
                <w:szCs w:val="17"/>
                <w:b w:val="1"/>
                <w:bCs w:val="1"/>
                <w:color w:val="auto"/>
              </w:rPr>
              <w:t>Registration Fee</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Borders>
              <w:left w:val="single" w:sz="8" w:color="auto"/>
            </w:tcBorders>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shd w:val="clear" w:color="auto" w:fill="9ADAF6"/>
          </w:tcPr>
          <w:p>
            <w:pPr>
              <w:jc w:val="center"/>
              <w:spacing w:after="0" w:line="14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2"/>
                <w:szCs w:val="12"/>
                <w:color w:val="auto"/>
              </w:rPr>
            </w:pPr>
          </w:p>
        </w:tc>
        <w:tc>
          <w:tcPr>
            <w:tcW w:w="10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9" w:lineRule="exact"/>
              <w:rPr>
                <w:sz w:val="20"/>
                <w:szCs w:val="20"/>
                <w:color w:val="auto"/>
              </w:rPr>
            </w:pPr>
            <w:r>
              <w:rPr>
                <w:rFonts w:ascii="Arial" w:cs="Arial" w:eastAsia="Arial" w:hAnsi="Arial"/>
                <w:sz w:val="17"/>
                <w:szCs w:val="17"/>
                <w:b w:val="1"/>
                <w:bCs w:val="1"/>
                <w:color w:val="auto"/>
              </w:rPr>
              <w:t>Price Per Unit</w:t>
            </w:r>
          </w:p>
        </w:tc>
        <w:tc>
          <w:tcPr>
            <w:tcW w:w="20" w:type="dxa"/>
            <w:vAlign w:val="bottom"/>
          </w:tcPr>
          <w:p>
            <w:pPr>
              <w:spacing w:after="0"/>
              <w:rPr>
                <w:sz w:val="12"/>
                <w:szCs w:val="12"/>
                <w:color w:val="auto"/>
              </w:rPr>
            </w:pPr>
          </w:p>
        </w:tc>
        <w:tc>
          <w:tcPr>
            <w:tcW w:w="1640" w:type="dxa"/>
            <w:vAlign w:val="bottom"/>
            <w:shd w:val="clear" w:color="auto" w:fill="9ADAF6"/>
          </w:tcPr>
          <w:p>
            <w:pPr>
              <w:jc w:val="center"/>
              <w:spacing w:after="0" w:line="149"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2"/>
                <w:szCs w:val="12"/>
                <w:color w:val="auto"/>
              </w:rPr>
            </w:pPr>
          </w:p>
        </w:tc>
        <w:tc>
          <w:tcPr>
            <w:tcW w:w="8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2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Stock, $0.01</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par value per</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share,</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reserved for</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issuance</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pursuant to</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jc w:val="right"/>
              <w:spacing w:after="0" w:line="19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the</w:t>
            </w:r>
          </w:p>
        </w:tc>
        <w:tc>
          <w:tcPr>
            <w:tcW w:w="20" w:type="dxa"/>
            <w:vAlign w:val="bottom"/>
          </w:tcPr>
          <w:p>
            <w:pPr>
              <w:spacing w:after="0"/>
              <w:rPr>
                <w:sz w:val="16"/>
                <w:szCs w:val="16"/>
                <w:color w:val="auto"/>
              </w:rPr>
            </w:pPr>
          </w:p>
        </w:tc>
        <w:tc>
          <w:tcPr>
            <w:tcW w:w="1020" w:type="dxa"/>
            <w:vAlign w:val="bottom"/>
            <w:shd w:val="clear" w:color="auto" w:fill="E7E7E2"/>
          </w:tcPr>
          <w:p>
            <w:pPr>
              <w:jc w:val="center"/>
              <w:spacing w:after="0" w:line="191"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6"/>
                <w:szCs w:val="16"/>
                <w:color w:val="auto"/>
              </w:rPr>
            </w:pPr>
          </w:p>
        </w:tc>
        <w:tc>
          <w:tcPr>
            <w:tcW w:w="10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15,000,000</w:t>
            </w:r>
          </w:p>
        </w:tc>
        <w:tc>
          <w:tcPr>
            <w:tcW w:w="20" w:type="dxa"/>
            <w:vAlign w:val="bottom"/>
          </w:tcPr>
          <w:p>
            <w:pPr>
              <w:spacing w:after="0"/>
              <w:rPr>
                <w:sz w:val="16"/>
                <w:szCs w:val="16"/>
                <w:color w:val="auto"/>
              </w:rPr>
            </w:pPr>
          </w:p>
        </w:tc>
        <w:tc>
          <w:tcPr>
            <w:tcW w:w="15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$ 10.165</w:t>
            </w:r>
          </w:p>
        </w:tc>
        <w:tc>
          <w:tcPr>
            <w:tcW w:w="20" w:type="dxa"/>
            <w:vAlign w:val="bottom"/>
          </w:tcPr>
          <w:p>
            <w:pPr>
              <w:spacing w:after="0"/>
              <w:rPr>
                <w:sz w:val="16"/>
                <w:szCs w:val="16"/>
                <w:color w:val="auto"/>
              </w:rPr>
            </w:pPr>
          </w:p>
        </w:tc>
        <w:tc>
          <w:tcPr>
            <w:tcW w:w="164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$ 152,475,000.00</w:t>
            </w:r>
          </w:p>
        </w:tc>
        <w:tc>
          <w:tcPr>
            <w:tcW w:w="20" w:type="dxa"/>
            <w:vAlign w:val="bottom"/>
          </w:tcPr>
          <w:p>
            <w:pPr>
              <w:spacing w:after="0"/>
              <w:rPr>
                <w:sz w:val="16"/>
                <w:szCs w:val="16"/>
                <w:color w:val="auto"/>
              </w:rPr>
            </w:pPr>
          </w:p>
        </w:tc>
        <w:tc>
          <w:tcPr>
            <w:tcW w:w="84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6"/>
                <w:szCs w:val="16"/>
                <w:color w:val="auto"/>
              </w:rPr>
            </w:pPr>
          </w:p>
        </w:tc>
        <w:tc>
          <w:tcPr>
            <w:tcW w:w="164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$ 21,056.80</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Registrant's</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DENTSPLY</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SIRONA Inc.</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2024</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Omnibus</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Borders>
              <w:left w:val="single" w:sz="8" w:color="auto"/>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Incentive</w:t>
            </w: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20" w:type="dxa"/>
            <w:vAlign w:val="bottom"/>
            <w:tcBorders>
              <w:left w:val="single" w:sz="8" w:color="auto"/>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20"/>
                <w:szCs w:val="20"/>
                <w:color w:val="auto"/>
              </w:rPr>
            </w:pPr>
            <w:r>
              <w:rPr>
                <w:rFonts w:ascii="Arial" w:cs="Arial" w:eastAsia="Arial" w:hAnsi="Arial"/>
                <w:sz w:val="17"/>
                <w:szCs w:val="17"/>
                <w:color w:val="auto"/>
              </w:rPr>
              <w:t>Plan</w:t>
            </w: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$ 152,475,000.00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$ 21,056.80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2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0" w:type="dxa"/>
            <w:vAlign w:val="bottom"/>
            <w:tcBorders>
              <w:left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$ 21,056.80</w:t>
            </w: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Fee Calculation Rule 457(c) and 457(h)</w:t>
      </w:r>
    </w:p>
    <w:p>
      <w:pPr>
        <w:spacing w:after="0" w:line="186" w:lineRule="exact"/>
        <w:rPr>
          <w:sz w:val="20"/>
          <w:szCs w:val="20"/>
          <w:color w:val="auto"/>
        </w:rPr>
      </w:pPr>
    </w:p>
    <w:p>
      <w:pPr>
        <w:ind w:left="780" w:right="600" w:firstLine="5"/>
        <w:spacing w:after="0" w:line="246" w:lineRule="auto"/>
        <w:tabs>
          <w:tab w:leader="none" w:pos="1035" w:val="left"/>
        </w:tabs>
        <w:numPr>
          <w:ilvl w:val="0"/>
          <w:numId w:val="2"/>
        </w:numPr>
        <w:rPr>
          <w:rFonts w:ascii="Arial" w:cs="Arial" w:eastAsia="Arial" w:hAnsi="Arial"/>
          <w:sz w:val="17"/>
          <w:szCs w:val="17"/>
          <w:color w:val="auto"/>
        </w:rPr>
      </w:pPr>
      <w:r>
        <w:rPr>
          <w:rFonts w:ascii="Arial" w:cs="Arial" w:eastAsia="Arial" w:hAnsi="Arial"/>
          <w:sz w:val="17"/>
          <w:szCs w:val="17"/>
          <w:color w:val="auto"/>
        </w:rPr>
        <w:t>Pursuant to Rule 416 under the Securities Act, the number of shares of common stock, par value $0.01 per share (Common Stock) of the Registrant, to be registered hereunder includes such indeterminate number of additional shares of Common Stock that may become issuable in accordance with any adjustment and anti-dilution provisions of the DENTSPLY SIRONA Inc. 2024 Omnibus Incentive Plan (as amended as of June 2, 2026).</w:t>
      </w:r>
    </w:p>
    <w:p>
      <w:pPr>
        <w:spacing w:after="0" w:line="153" w:lineRule="exact"/>
        <w:rPr>
          <w:rFonts w:ascii="Arial" w:cs="Arial" w:eastAsia="Arial" w:hAnsi="Arial"/>
          <w:sz w:val="17"/>
          <w:szCs w:val="17"/>
          <w:color w:val="auto"/>
        </w:rPr>
      </w:pPr>
    </w:p>
    <w:p>
      <w:pPr>
        <w:ind w:left="780" w:right="700" w:firstLine="5"/>
        <w:spacing w:after="0" w:line="251" w:lineRule="auto"/>
        <w:tabs>
          <w:tab w:leader="none" w:pos="1035" w:val="left"/>
        </w:tabs>
        <w:numPr>
          <w:ilvl w:val="0"/>
          <w:numId w:val="2"/>
        </w:numPr>
        <w:rPr>
          <w:rFonts w:ascii="Arial" w:cs="Arial" w:eastAsia="Arial" w:hAnsi="Arial"/>
          <w:sz w:val="17"/>
          <w:szCs w:val="17"/>
          <w:color w:val="auto"/>
        </w:rPr>
      </w:pPr>
      <w:r>
        <w:rPr>
          <w:rFonts w:ascii="Arial" w:cs="Arial" w:eastAsia="Arial" w:hAnsi="Arial"/>
          <w:sz w:val="17"/>
          <w:szCs w:val="17"/>
          <w:color w:val="auto"/>
        </w:rPr>
        <w:t>Estimated solely for the purpose of determining the registration fee pursuant to Rules 457(c) and 457(h) under the Securities Act, the offering price and registration fee are based on a price of $10.165 per share, which price is an average of the high and low prices of the Registrant's Common Stock as reported on the Nasdaq Global Select Market on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177165</wp:posOffset>
            </wp:positionV>
            <wp:extent cx="64255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64255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34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7"/>
        </w:trPr>
        <w:tc>
          <w:tcPr>
            <w:tcW w:w="3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Unsold</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7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6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80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6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Fee</w:t>
            </w: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7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0" w:type="dxa"/>
            <w:vAlign w:val="bottom"/>
          </w:tcPr>
          <w:p>
            <w:pPr>
              <w:spacing w:after="0"/>
              <w:rPr>
                <w:sz w:val="1"/>
                <w:szCs w:val="1"/>
                <w:color w:val="auto"/>
              </w:rPr>
            </w:pPr>
          </w:p>
        </w:tc>
      </w:tr>
      <w:tr>
        <w:trPr>
          <w:trHeight w:val="95"/>
        </w:trPr>
        <w:tc>
          <w:tcPr>
            <w:tcW w:w="3340" w:type="dxa"/>
            <w:vAlign w:val="bottom"/>
            <w:vMerge w:val="restart"/>
          </w:tcPr>
          <w:p>
            <w:pPr>
              <w:jc w:val="center"/>
              <w:ind w:left="1635"/>
              <w:spacing w:after="0"/>
              <w:rPr>
                <w:sz w:val="20"/>
                <w:szCs w:val="20"/>
                <w:color w:val="auto"/>
              </w:rPr>
            </w:pPr>
            <w:r>
              <w:rPr>
                <w:rFonts w:ascii="Arial" w:cs="Arial" w:eastAsia="Arial" w:hAnsi="Arial"/>
                <w:sz w:val="17"/>
                <w:szCs w:val="17"/>
                <w:b w:val="1"/>
                <w:bCs w:val="1"/>
                <w:color w:val="auto"/>
                <w:w w:val="99"/>
              </w:rPr>
              <w:t>Registrant or Filer</w:t>
            </w:r>
          </w:p>
        </w:tc>
        <w:tc>
          <w:tcPr>
            <w:tcW w:w="6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or</w:t>
            </w:r>
          </w:p>
        </w:tc>
        <w:tc>
          <w:tcPr>
            <w:tcW w:w="8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5"/>
              </w:rPr>
              <w:t>File</w:t>
            </w:r>
          </w:p>
        </w:tc>
        <w:tc>
          <w:tcPr>
            <w:tcW w:w="620" w:type="dxa"/>
            <w:vAlign w:val="bottom"/>
            <w:vMerge w:val="continue"/>
          </w:tcPr>
          <w:p>
            <w:pPr>
              <w:spacing w:after="0"/>
              <w:rPr>
                <w:sz w:val="8"/>
                <w:szCs w:val="8"/>
                <w:color w:val="auto"/>
              </w:rPr>
            </w:pPr>
          </w:p>
        </w:tc>
        <w:tc>
          <w:tcPr>
            <w:tcW w:w="6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6"/>
              </w:rPr>
              <w:t>Filing</w:t>
            </w:r>
          </w:p>
        </w:tc>
        <w:tc>
          <w:tcPr>
            <w:tcW w:w="740" w:type="dxa"/>
            <w:vAlign w:val="bottom"/>
            <w:vMerge w:val="continue"/>
          </w:tcPr>
          <w:p>
            <w:pPr>
              <w:spacing w:after="0"/>
              <w:rPr>
                <w:sz w:val="8"/>
                <w:szCs w:val="8"/>
                <w:color w:val="auto"/>
              </w:rPr>
            </w:pPr>
          </w:p>
        </w:tc>
        <w:tc>
          <w:tcPr>
            <w:tcW w:w="288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rPr>
              <w:t>Associated Associated Associated</w:t>
            </w:r>
          </w:p>
        </w:tc>
        <w:tc>
          <w:tcPr>
            <w:tcW w:w="10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Amount</w:t>
            </w:r>
          </w:p>
        </w:tc>
        <w:tc>
          <w:tcPr>
            <w:tcW w:w="7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70"/>
        </w:trPr>
        <w:tc>
          <w:tcPr>
            <w:tcW w:w="33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2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600" w:type="dxa"/>
            <w:vAlign w:val="bottom"/>
            <w:vMerge w:val="continue"/>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Arial" w:cs="Arial" w:eastAsia="Arial" w:hAnsi="Arial"/>
                <w:sz w:val="17"/>
                <w:szCs w:val="17"/>
                <w:b w:val="1"/>
                <w:bCs w:val="1"/>
                <w:color w:val="auto"/>
              </w:rPr>
              <w:t>Offset</w:t>
            </w:r>
          </w:p>
        </w:tc>
        <w:tc>
          <w:tcPr>
            <w:tcW w:w="28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40" w:type="dxa"/>
            <w:vAlign w:val="bottom"/>
          </w:tcPr>
          <w:p>
            <w:pPr>
              <w:jc w:val="center"/>
              <w:ind w:left="1635"/>
              <w:spacing w:after="0" w:line="191" w:lineRule="exact"/>
              <w:rPr>
                <w:sz w:val="20"/>
                <w:szCs w:val="20"/>
                <w:color w:val="auto"/>
              </w:rPr>
            </w:pPr>
            <w:r>
              <w:rPr>
                <w:rFonts w:ascii="Arial" w:cs="Arial" w:eastAsia="Arial" w:hAnsi="Arial"/>
                <w:sz w:val="17"/>
                <w:szCs w:val="17"/>
                <w:b w:val="1"/>
                <w:bCs w:val="1"/>
                <w:color w:val="auto"/>
                <w:w w:val="99"/>
              </w:rPr>
              <w:t>Name</w:t>
            </w:r>
          </w:p>
        </w:tc>
        <w:tc>
          <w:tcPr>
            <w:tcW w:w="6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8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6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6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74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96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92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10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700" w:type="dxa"/>
            <w:vAlign w:val="bottom"/>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92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10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10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7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920" w:type="dxa"/>
            <w:vAlign w:val="bottom"/>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Offset</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Source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-875030</wp:posOffset>
            </wp:positionV>
            <wp:extent cx="7167880" cy="171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7167880" cy="1717040"/>
                    </a:xfrm>
                    <a:prstGeom prst="rect">
                      <a:avLst/>
                    </a:prstGeom>
                    <a:noFill/>
                  </pic:spPr>
                </pic:pic>
              </a:graphicData>
            </a:graphic>
          </wp:anchor>
        </w:drawing>
      </w:r>
    </w:p>
    <w:p>
      <w:pPr>
        <w:ind w:left="9740"/>
        <w:spacing w:after="0"/>
        <w:rPr>
          <w:sz w:val="20"/>
          <w:szCs w:val="20"/>
          <w:color w:val="auto"/>
        </w:rPr>
      </w:pPr>
      <w:r>
        <w:rPr>
          <w:rFonts w:ascii="Arial" w:cs="Arial" w:eastAsia="Arial" w:hAnsi="Arial"/>
          <w:sz w:val="17"/>
          <w:szCs w:val="17"/>
          <w:b w:val="1"/>
          <w:bCs w:val="1"/>
          <w:color w:val="auto"/>
        </w:rPr>
        <w:t>Claimed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457(p)</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Claims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Fee Offset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Sources</w:t>
      </w:r>
    </w:p>
    <w:p>
      <w:pPr>
        <w:sectPr>
          <w:pgSz w:w="11900" w:h="16838" w:orient="portrait"/>
          <w:cols w:equalWidth="0" w:num="1">
            <w:col w:w="11280"/>
          </w:cols>
          <w:pgMar w:left="300" w:top="142"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10" Type="http://schemas.openxmlformats.org/officeDocument/2006/relationships/hyperlink" Target="https://www.sec.gov/Archives/edgar/data/818479/000081847924000049/ds-formsx8.htm" TargetMode="External"/><Relationship Id="rId11" Type="http://schemas.openxmlformats.org/officeDocument/2006/relationships/hyperlink" Target="https://www.sec.gov/Archives/edgar/data/818479/000081847925000107/ds-formsx806262025.htm" TargetMode="External"/><Relationship Id="rId12" Type="http://schemas.openxmlformats.org/officeDocument/2006/relationships/hyperlink" Target="https://www.sec.gov/ix?doc=/Archives/edgar/data/0000818479/000081847926000075/xray-20251231.htm" TargetMode="External"/><Relationship Id="rId13" Type="http://schemas.openxmlformats.org/officeDocument/2006/relationships/hyperlink" Target="https://www.sec.gov/ix?doc=/Archives/edgar/data/0000818479/000081847926000149/xray-20260331.htm" TargetMode="External"/><Relationship Id="rId14" Type="http://schemas.openxmlformats.org/officeDocument/2006/relationships/hyperlink" Target="https://www.sec.gov/Archives/edgar/data/818479/000081847920000006/exhibit44q4201910-k.htm" TargetMode="External"/><Relationship Id="rId15" Type="http://schemas.openxmlformats.org/officeDocument/2006/relationships/hyperlink" Target="https://www.sec.gov/Archives/edgar/data/818479/000081847917000007/exhibit31amendedandrestate.htm" TargetMode="External"/><Relationship Id="rId16" Type="http://schemas.openxmlformats.org/officeDocument/2006/relationships/hyperlink" Target="https://www.sec.gov/Archives/edgar/data/818479/000081847918000022/exhibit31secondamendrestat.htm" TargetMode="External"/><Relationship Id="rId17" Type="http://schemas.openxmlformats.org/officeDocument/2006/relationships/hyperlink" Target="https://www.sec.gov/Archives/edgar/data/0000818479/000081847923000052/ex31seventhamendedandres.htm" TargetMode="External"/><Relationship Id="rId18" Type="http://schemas.openxmlformats.org/officeDocument/2006/relationships/hyperlink" Target="https://www.sec.gov/Archives/edgar/data/818479/000081847924000049/ex44-2024omnibusincentiv.htm" TargetMode="External"/><Relationship Id="rId19" Type="http://schemas.openxmlformats.org/officeDocument/2006/relationships/hyperlink" Target="https://www.sec.gov/ix?doc=/Archives/edgar/data/818479/000114036125013040/ny20039969x1_def14a.htm" TargetMode="External"/><Relationship Id="rId20" Type="http://schemas.openxmlformats.org/officeDocument/2006/relationships/hyperlink" Target="https://www.sec.gov/ix?doc=/Archives/edgar/data/0000818479/000081847926000125/xray-202604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2026-06-26T07:40:18Z</dcterms:created>
  <dcterms:modified xsi:type="dcterms:W3CDTF">2026-06-26T07:40:18Z</dcterms:modified>
</cp:coreProperties>
</file>