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UNITED STATES</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SECURITIES AND EXCHANGE COMMISSION</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WASHINGTON, D.C. 20549</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22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before="220" w:after="283"/>
        <w:jc w:val="center"/>
        <w:rPr/>
      </w:pPr>
      <w:r>
        <w:rPr/>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August 6, 2026</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u w:val="single"/>
        </w:rPr>
      </w:pPr>
      <w:r>
        <w:rPr>
          <w:rFonts w:ascii="Times New Roman;serif" w:hAnsi="Times New Roman;serif"/>
          <w:b/>
          <w:color w:val="000000"/>
          <w:sz w:val="36"/>
          <w:u w:val="single"/>
        </w:rPr>
        <w:t>DENTSPLY SIRONA Inc.</w:t>
      </w:r>
    </w:p>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677"/>
        <w:gridCol w:w="1473"/>
        <w:gridCol w:w="1488"/>
        <w:gridCol w:w="381"/>
        <w:gridCol w:w="377"/>
        <w:gridCol w:w="364"/>
        <w:gridCol w:w="459"/>
        <w:gridCol w:w="451"/>
        <w:gridCol w:w="452"/>
        <w:gridCol w:w="899"/>
        <w:gridCol w:w="899"/>
        <w:gridCol w:w="908"/>
        <w:gridCol w:w="109"/>
        <w:gridCol w:w="109"/>
        <w:gridCol w:w="159"/>
      </w:tblGrid>
      <w:tr>
        <w:trPr/>
        <w:tc>
          <w:tcPr>
            <w:tcW w:w="1677"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638"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248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0-16211</w:t>
            </w:r>
          </w:p>
        </w:tc>
        <w:tc>
          <w:tcPr>
            <w:tcW w:w="270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39-1434669</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484"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70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8"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13320 Ballantyne Corporate Place,</w:t>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Charlotte</w:t>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North Carolina</w:t>
            </w:r>
          </w:p>
        </w:tc>
        <w:tc>
          <w:tcPr>
            <w:tcW w:w="270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28277-3607</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2"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706"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(844) 848-0137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XRAY</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0"/>
        <w:jc w:val="right"/>
        <w:rPr>
          <w:rFonts w:ascii="Wingdings;sans-serif" w:hAnsi="Wingdings;sans-serif"/>
          <w:b w:val="false"/>
          <w:color w:val="000000"/>
          <w:sz w:val="20"/>
        </w:rPr>
      </w:pP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6, 2026, DENTSPLY SIRONA Inc. (the “Company”) issued a press release regarding the Company’s financial results for its second fiscal quarter ended June 30, 2026. A copy of the Company’s press release is furnished as Exhibit 99.1.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in this Current Report on Form 8-K pursuant to Item 2.02,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863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112"/>
        <w:gridCol w:w="2112"/>
        <w:gridCol w:w="300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300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dentsply8kq22026e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DENTSPLY SIRONA Inc. Press release issued August 6 2026, as referenced in Item 2.02</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Cover Page Interactive Data File (embedded within the Inline XBRL Document) </w:t>
            </w:r>
          </w:p>
        </w:tc>
      </w:tr>
      <w:tr>
        <w:trPr/>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Company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DENTSPLY SIRONA Inc.</w:t>
      </w:r>
    </w:p>
    <w:p>
      <w:pPr>
        <w:pStyle w:val="TextBody"/>
        <w:bidi w:val="0"/>
        <w:spacing w:before="0" w:after="0"/>
        <w:jc w:val="left"/>
        <w:rPr/>
      </w:pPr>
      <w:r>
        <w:rPr/>
      </w:r>
    </w:p>
    <w:tbl>
      <w:tblPr>
        <w:tblW w:w="3281"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741"/>
        <w:gridCol w:w="741"/>
        <w:gridCol w:w="1052"/>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C. Fortson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 Fortson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ind w:left="0" w:right="0" w:firstLine="72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181100" cy="3333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181100" cy="333375"/>
                    </a:xfrm>
                    <a:prstGeom prst="rect">
                      <a:avLst/>
                    </a:prstGeom>
                  </pic:spPr>
                </pic:pic>
              </a:graphicData>
            </a:graphic>
          </wp:inline>
        </w:drawing>
      </w:r>
    </w:p>
    <w:p>
      <w:pPr>
        <w:pStyle w:val="TextBody"/>
        <w:bidi w:val="0"/>
        <w:spacing w:before="0" w:after="0"/>
        <w:jc w:val="right"/>
        <w:rPr/>
      </w:pPr>
      <w:r>
        <w:rPr/>
      </w:r>
    </w:p>
    <w:p>
      <w:pPr>
        <w:pStyle w:val="TextBody"/>
        <w:bidi w:val="0"/>
        <w:spacing w:lineRule="auto" w:line="276" w:before="0" w:after="180"/>
        <w:jc w:val="left"/>
        <w:rPr/>
      </w:pPr>
      <w:r>
        <w:rPr>
          <w:rFonts w:ascii="Montserrat;sans-serif" w:hAnsi="Montserrat;sans-serif"/>
          <w:b/>
          <w:color w:val="333F4C"/>
          <w:sz w:val="32"/>
        </w:rPr>
        <w:t>Dentsply Sirona Reports Second Quarter 2026</w:t>
      </w:r>
      <w:r>
        <w:rPr>
          <w:color w:val="000000"/>
        </w:rPr>
        <w:t xml:space="preserve"> </w:t>
      </w:r>
      <w:r>
        <w:rPr>
          <w:rFonts w:ascii="Montserrat;sans-serif" w:hAnsi="Montserrat;sans-serif"/>
          <w:b/>
          <w:color w:val="333F4C"/>
          <w:sz w:val="32"/>
        </w:rPr>
        <w:t>Results</w:t>
      </w:r>
    </w:p>
    <w:p>
      <w:pPr>
        <w:pStyle w:val="TextBody"/>
        <w:bidi w:val="0"/>
        <w:spacing w:lineRule="auto" w:line="288" w:before="0" w:after="0"/>
        <w:jc w:val="left"/>
        <w:rPr>
          <w:rFonts w:ascii="Montserrat;sans-serif" w:hAnsi="Montserrat;sans-serif"/>
          <w:b/>
          <w:color w:val="000000"/>
          <w:sz w:val="20"/>
          <w:u w:val="single"/>
        </w:rPr>
      </w:pPr>
      <w:r>
        <w:rPr>
          <w:rFonts w:ascii="Montserrat;sans-serif" w:hAnsi="Montserrat;sans-serif"/>
          <w:b/>
          <w:color w:val="000000"/>
          <w:sz w:val="20"/>
          <w:u w:val="single"/>
        </w:rPr>
        <w:t>News Summary</w:t>
      </w:r>
    </w:p>
    <w:p>
      <w:pPr>
        <w:pStyle w:val="TextBody"/>
        <w:bidi w:val="0"/>
        <w:spacing w:lineRule="auto" w:line="288" w:before="0" w:after="0"/>
        <w:ind w:left="0" w:right="0" w:hanging="360"/>
        <w:jc w:val="left"/>
        <w:rPr/>
      </w:pPr>
      <w:r>
        <w:rPr>
          <w:color w:val="000000"/>
        </w:rPr>
        <w:t>•</w:t>
      </w:r>
      <w:r>
        <w:rPr>
          <w:rFonts w:ascii="Montserrat;sans-serif" w:hAnsi="Montserrat;sans-serif"/>
          <w:b/>
          <w:color w:val="000000"/>
          <w:sz w:val="20"/>
        </w:rPr>
        <w:t>Reported net sales of $898 million</w:t>
      </w:r>
    </w:p>
    <w:p>
      <w:pPr>
        <w:pStyle w:val="TextBody"/>
        <w:bidi w:val="0"/>
        <w:spacing w:lineRule="auto" w:line="288" w:before="0" w:after="0"/>
        <w:ind w:left="0" w:right="0" w:hanging="360"/>
        <w:jc w:val="left"/>
        <w:rPr/>
      </w:pPr>
      <w:r>
        <w:rPr>
          <w:color w:val="000000"/>
        </w:rPr>
        <w:t>•</w:t>
      </w:r>
      <w:r>
        <w:rPr>
          <w:rFonts w:ascii="Montserrat;sans-serif" w:hAnsi="Montserrat;sans-serif"/>
          <w:b/>
          <w:color w:val="000000"/>
          <w:sz w:val="20"/>
        </w:rPr>
        <w:t>Delivered GAAP gross margin of 54.9%, GAAP diluted earnings per share of $0.18</w:t>
      </w:r>
    </w:p>
    <w:p>
      <w:pPr>
        <w:pStyle w:val="TextBody"/>
        <w:bidi w:val="0"/>
        <w:spacing w:lineRule="auto" w:line="288" w:before="0" w:after="0"/>
        <w:ind w:left="0" w:right="0" w:hanging="360"/>
        <w:jc w:val="left"/>
        <w:rPr/>
      </w:pPr>
      <w:r>
        <w:rPr>
          <w:color w:val="000000"/>
        </w:rPr>
        <w:t>•</w:t>
      </w:r>
      <w:r>
        <w:rPr>
          <w:rFonts w:ascii="Montserrat;sans-serif" w:hAnsi="Montserrat;sans-serif"/>
          <w:b/>
          <w:color w:val="000000"/>
          <w:sz w:val="20"/>
        </w:rPr>
        <w:t>Achieved adjusted gross margin of 56.4%, adjusted EBITDA margin of 21.3%, adjusted EPS of $0.52</w:t>
      </w:r>
    </w:p>
    <w:p>
      <w:pPr>
        <w:pStyle w:val="TextBody"/>
        <w:bidi w:val="0"/>
        <w:spacing w:lineRule="auto" w:line="288" w:before="0" w:after="0"/>
        <w:ind w:left="0" w:right="0" w:hanging="360"/>
        <w:jc w:val="left"/>
        <w:rPr/>
      </w:pPr>
      <w:r>
        <w:rPr>
          <w:color w:val="000000"/>
        </w:rPr>
        <w:t>•</w:t>
      </w:r>
      <w:r>
        <w:rPr>
          <w:rFonts w:ascii="Montserrat;sans-serif" w:hAnsi="Montserrat;sans-serif"/>
          <w:b/>
          <w:color w:val="000000"/>
          <w:sz w:val="20"/>
        </w:rPr>
        <w:t>Announced expanded partnership with Medline Sinclair, broadening access to Connected Technology Solutions portfolio across Canada</w:t>
      </w:r>
    </w:p>
    <w:p>
      <w:pPr>
        <w:pStyle w:val="TextBody"/>
        <w:bidi w:val="0"/>
        <w:spacing w:lineRule="auto" w:line="288" w:before="0" w:after="0"/>
        <w:ind w:left="0" w:right="0" w:hanging="360"/>
        <w:jc w:val="left"/>
        <w:rPr/>
      </w:pPr>
      <w:r>
        <w:rPr>
          <w:color w:val="000000"/>
        </w:rPr>
        <w:t>•</w:t>
      </w:r>
      <w:r>
        <w:rPr>
          <w:rFonts w:ascii="Montserrat;sans-serif" w:hAnsi="Montserrat;sans-serif"/>
          <w:b/>
          <w:color w:val="000000"/>
          <w:sz w:val="20"/>
        </w:rPr>
        <w:t>Repurchased 1.3 million shares of common stock during the quarter</w:t>
      </w:r>
    </w:p>
    <w:p>
      <w:pPr>
        <w:pStyle w:val="TextBody"/>
        <w:bidi w:val="0"/>
        <w:spacing w:lineRule="auto" w:line="288" w:before="0" w:after="0"/>
        <w:ind w:left="0" w:right="0" w:hanging="360"/>
        <w:jc w:val="left"/>
        <w:rPr/>
      </w:pPr>
      <w:r>
        <w:rPr>
          <w:color w:val="000000"/>
        </w:rPr>
        <w:t>•</w:t>
      </w:r>
      <w:r>
        <w:rPr>
          <w:rFonts w:ascii="Montserrat;sans-serif" w:hAnsi="Montserrat;sans-serif"/>
          <w:b/>
          <w:color w:val="000000"/>
          <w:sz w:val="20"/>
        </w:rPr>
        <w:t>Reiterates 2026 outlook for net sales and adjusted EPS</w:t>
      </w:r>
    </w:p>
    <w:p>
      <w:pPr>
        <w:pStyle w:val="TextBody"/>
        <w:bidi w:val="0"/>
        <w:spacing w:before="0" w:after="0"/>
        <w:ind w:left="0" w:right="0" w:firstLine="90"/>
        <w:jc w:val="left"/>
        <w:rPr/>
      </w:pPr>
      <w:r>
        <w:rPr/>
      </w:r>
    </w:p>
    <w:p>
      <w:pPr>
        <w:pStyle w:val="TextBody"/>
        <w:bidi w:val="0"/>
        <w:spacing w:lineRule="auto" w:line="288" w:before="0" w:after="0"/>
        <w:jc w:val="left"/>
        <w:rPr/>
      </w:pPr>
      <w:r>
        <w:rPr>
          <w:rFonts w:ascii="Montserrat;sans-serif" w:hAnsi="Montserrat;sans-serif"/>
          <w:b/>
          <w:color w:val="000000"/>
          <w:sz w:val="20"/>
        </w:rPr>
        <w:t>Charlotte, N.C., August 6, 2026 -</w:t>
      </w:r>
      <w:r>
        <w:rPr>
          <w:color w:val="000000"/>
        </w:rPr>
        <w:t xml:space="preserve"> </w:t>
      </w:r>
      <w:r>
        <w:rPr>
          <w:rFonts w:ascii="Montserrat;sans-serif" w:hAnsi="Montserrat;sans-serif"/>
          <w:b w:val="false"/>
          <w:color w:val="000000"/>
          <w:sz w:val="20"/>
        </w:rPr>
        <w:t>DENTSPLY SIRONA Inc. ("Dentsply Sirona" or the "Company") (Nasdaq: XRAY) today announced its financial results for the second quarter of 2026.</w:t>
      </w:r>
    </w:p>
    <w:p>
      <w:pPr>
        <w:pStyle w:val="TextBody"/>
        <w:bidi w:val="0"/>
        <w:spacing w:before="0" w:after="0"/>
        <w:jc w:val="left"/>
        <w:rPr/>
      </w:pPr>
      <w:r>
        <w:rPr/>
      </w:r>
    </w:p>
    <w:p>
      <w:pPr>
        <w:pStyle w:val="TextBody"/>
        <w:bidi w:val="0"/>
        <w:spacing w:lineRule="auto" w:line="268" w:before="0" w:after="0"/>
        <w:jc w:val="left"/>
        <w:rPr>
          <w:rFonts w:ascii="Montserrat;sans-serif" w:hAnsi="Montserrat;sans-serif"/>
          <w:b w:val="false"/>
          <w:color w:val="000000"/>
          <w:sz w:val="20"/>
        </w:rPr>
      </w:pPr>
      <w:r>
        <w:rPr>
          <w:rFonts w:ascii="Montserrat;sans-serif" w:hAnsi="Montserrat;sans-serif"/>
          <w:b w:val="false"/>
          <w:color w:val="000000"/>
          <w:sz w:val="20"/>
        </w:rPr>
        <w:t>"2026 continues to be a year of decisive action as we execute our Return-to-Growth Action Plan," said Dan Scavilla, President and Chief Executive Officer of Dentsply Sirona. "We are making meaningful progress in our highest priority areas, including strengthening and expanding our distributor relationships, realigning our sales teams, and reinvesting in the business. Our second quarter results were in line with expectations and we continue to strengthen the financial foundation of the company. As our work gains traction, we remain focused on executing our strategy with discipline to drive sustained, profitable growth."</w:t>
      </w:r>
    </w:p>
    <w:p>
      <w:pPr>
        <w:pStyle w:val="TextBody"/>
        <w:bidi w:val="0"/>
        <w:spacing w:before="0" w:after="0"/>
        <w:jc w:val="left"/>
        <w:rPr/>
      </w:pPr>
      <w:r>
        <w:rPr/>
      </w:r>
    </w:p>
    <w:p>
      <w:pPr>
        <w:pStyle w:val="TextBody"/>
        <w:bidi w:val="0"/>
        <w:spacing w:lineRule="auto" w:line="288" w:before="0" w:after="0"/>
        <w:jc w:val="left"/>
        <w:rPr>
          <w:rFonts w:ascii="Montserrat;sans-serif" w:hAnsi="Montserrat;sans-serif"/>
          <w:b/>
          <w:color w:val="000000"/>
          <w:sz w:val="20"/>
          <w:u w:val="single"/>
        </w:rPr>
      </w:pPr>
      <w:r>
        <w:rPr>
          <w:rFonts w:ascii="Montserrat;sans-serif" w:hAnsi="Montserrat;sans-serif"/>
          <w:b/>
          <w:color w:val="000000"/>
          <w:sz w:val="20"/>
          <w:u w:val="single"/>
        </w:rPr>
        <w:t>Q2 2026 Summary Results (Reported)</w:t>
      </w:r>
    </w:p>
    <w:tbl>
      <w:tblPr>
        <w:tblW w:w="9252" w:type="dxa"/>
        <w:jc w:val="left"/>
        <w:tblInd w:w="0" w:type="dxa"/>
        <w:tblLayout w:type="fixed"/>
        <w:tblCellMar>
          <w:top w:w="28" w:type="dxa"/>
          <w:left w:w="28" w:type="dxa"/>
          <w:bottom w:w="28" w:type="dxa"/>
          <w:right w:w="28" w:type="dxa"/>
        </w:tblCellMar>
      </w:tblPr>
      <w:tblGrid>
        <w:gridCol w:w="1919"/>
        <w:gridCol w:w="1684"/>
        <w:gridCol w:w="1692"/>
        <w:gridCol w:w="109"/>
        <w:gridCol w:w="109"/>
        <w:gridCol w:w="109"/>
        <w:gridCol w:w="109"/>
        <w:gridCol w:w="109"/>
        <w:gridCol w:w="109"/>
        <w:gridCol w:w="109"/>
        <w:gridCol w:w="109"/>
        <w:gridCol w:w="109"/>
        <w:gridCol w:w="249"/>
        <w:gridCol w:w="249"/>
        <w:gridCol w:w="251"/>
        <w:gridCol w:w="109"/>
        <w:gridCol w:w="109"/>
        <w:gridCol w:w="109"/>
        <w:gridCol w:w="264"/>
        <w:gridCol w:w="264"/>
        <w:gridCol w:w="266"/>
        <w:gridCol w:w="109"/>
        <w:gridCol w:w="109"/>
        <w:gridCol w:w="109"/>
        <w:gridCol w:w="227"/>
        <w:gridCol w:w="227"/>
        <w:gridCol w:w="325"/>
      </w:tblGrid>
      <w:tr>
        <w:trPr/>
        <w:tc>
          <w:tcPr>
            <w:tcW w:w="1919"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(in millions, except per share amount and percentages)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Q2 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Q2 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YoY</w:t>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199" w:before="0" w:after="283"/>
              <w:jc w:val="left"/>
              <w:rPr>
                <w:rFonts w:ascii="Montserrat;sans-serif" w:hAnsi="Montserrat;sans-serif"/>
                <w:b w:val="false"/>
                <w:color w:val="000000"/>
                <w:sz w:val="20"/>
              </w:rPr>
            </w:pPr>
            <w:r>
              <w:rPr>
                <w:rFonts w:ascii="Montserrat;sans-serif" w:hAnsi="Montserrat;sans-serif"/>
                <w:b w:val="false"/>
                <w:color w:val="000000"/>
                <w:sz w:val="20"/>
              </w:rPr>
              <w:t>Net Sales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$898</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$936</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FFCC" w:val="clear"/>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i/>
                <w:color w:val="000000"/>
                <w:sz w:val="20"/>
              </w:rPr>
            </w:pPr>
            <w:r>
              <w:rPr>
                <w:rFonts w:ascii="Montserrat;sans-serif" w:hAnsi="Montserrat;sans-serif"/>
                <w:b w:val="false"/>
                <w:i/>
                <w:color w:val="000000"/>
                <w:sz w:val="20"/>
              </w:rPr>
              <w:t>(4.1%)</w:t>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Montserrat;sans-serif" w:hAnsi="Montserrat;sans-serif"/>
                <w:b w:val="false"/>
                <w:color w:val="000000"/>
                <w:sz w:val="20"/>
              </w:rPr>
            </w:pPr>
            <w:r>
              <w:rPr>
                <w:rFonts w:ascii="Montserrat;sans-serif" w:hAnsi="Montserrat;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$493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$490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i/>
                <w:color w:val="000000"/>
                <w:sz w:val="20"/>
              </w:rPr>
            </w:pPr>
            <w:r>
              <w:rPr>
                <w:rFonts w:ascii="Montserrat;sans-serif" w:hAnsi="Montserrat;sans-serif"/>
                <w:b w:val="false"/>
                <w:i/>
                <w:color w:val="000000"/>
                <w:sz w:val="20"/>
              </w:rPr>
              <w:t>0.6%</w:t>
            </w:r>
          </w:p>
        </w:tc>
      </w:tr>
      <w:tr>
        <w:trPr/>
        <w:tc>
          <w:tcPr>
            <w:tcW w:w="5295" w:type="dxa"/>
            <w:gridSpan w:val="3"/>
            <w:tcBorders/>
            <w:shd w:fill="CDFFCC" w:val="clear"/>
            <w:tcMar>
              <w:top w:w="0" w:type="dxa"/>
              <w:left w:w="0" w:type="dxa"/>
              <w:bottom w:w="0" w:type="dxa"/>
              <w:right w:w="0" w:type="dxa"/>
            </w:tcMar>
            <w:vAlign w:val="center"/>
          </w:tcPr>
          <w:p>
            <w:pPr>
              <w:pStyle w:val="TableContents"/>
              <w:bidi w:val="0"/>
              <w:spacing w:lineRule="auto" w:line="199" w:before="0" w:after="283"/>
              <w:jc w:val="left"/>
              <w:rPr>
                <w:rFonts w:ascii="Montserrat;sans-serif" w:hAnsi="Montserrat;sans-serif"/>
                <w:b w:val="false"/>
                <w:color w:val="000000"/>
                <w:sz w:val="20"/>
              </w:rPr>
            </w:pPr>
            <w:r>
              <w:rPr>
                <w:rFonts w:ascii="Montserrat;sans-serif" w:hAnsi="Montserrat;sans-serif"/>
                <w:b w:val="false"/>
                <w:color w:val="000000"/>
                <w:sz w:val="20"/>
              </w:rPr>
              <w:t>Gross Margin</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54.9%</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52.4%</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199" w:before="0" w:after="283"/>
              <w:jc w:val="left"/>
              <w:rPr>
                <w:rFonts w:ascii="Montserrat;sans-serif" w:hAnsi="Montserrat;sans-serif"/>
                <w:b w:val="false"/>
                <w:color w:val="000000"/>
                <w:sz w:val="20"/>
              </w:rPr>
            </w:pPr>
            <w:r>
              <w:rPr>
                <w:rFonts w:ascii="Montserrat;sans-serif" w:hAnsi="Montserrat;sans-serif"/>
                <w:b w:val="false"/>
                <w:color w:val="000000"/>
                <w:sz w:val="20"/>
              </w:rPr>
              <w:t>Net Income (Loss) Attributable to Dentsply Sirona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i/>
                <w:color w:val="000000"/>
                <w:sz w:val="20"/>
              </w:rPr>
            </w:pPr>
            <w:r>
              <w:rPr>
                <w:rFonts w:ascii="Montserrat;sans-serif" w:hAnsi="Montserrat;sans-serif"/>
                <w:b w:val="false"/>
                <w:i/>
                <w:color w:val="000000"/>
                <w:sz w:val="20"/>
              </w:rPr>
              <w:t>NM</w:t>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CDFFCC" w:val="clear"/>
            <w:tcMar>
              <w:top w:w="0" w:type="dxa"/>
              <w:left w:w="0" w:type="dxa"/>
              <w:bottom w:w="0" w:type="dxa"/>
              <w:right w:w="0" w:type="dxa"/>
            </w:tcMar>
            <w:vAlign w:val="center"/>
          </w:tcPr>
          <w:p>
            <w:pPr>
              <w:pStyle w:val="TableContents"/>
              <w:bidi w:val="0"/>
              <w:spacing w:lineRule="auto" w:line="199" w:before="0" w:after="0"/>
              <w:jc w:val="left"/>
              <w:rPr/>
            </w:pPr>
            <w:r>
              <w:rPr>
                <w:rFonts w:ascii="Montserrat;sans-serif" w:hAnsi="Montserrat;sans-serif"/>
                <w:b w:val="false"/>
                <w:color w:val="000000"/>
                <w:sz w:val="20"/>
              </w:rPr>
              <w:t>Diluted Earnings (Loss) Per Share</w:t>
            </w:r>
            <w:r>
              <w:rPr>
                <w:rFonts w:ascii="Montserrat;sans-serif" w:hAnsi="Montserrat;sans-serif"/>
                <w:b w:val="false"/>
                <w:color w:val="000000"/>
                <w:sz w:val="13"/>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$0.18</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($0.22)</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i/>
                <w:color w:val="000000"/>
                <w:sz w:val="20"/>
              </w:rPr>
            </w:pPr>
            <w:r>
              <w:rPr>
                <w:rFonts w:ascii="Montserrat;sans-serif" w:hAnsi="Montserrat;sans-serif"/>
                <w:b w:val="false"/>
                <w:i/>
                <w:color w:val="000000"/>
                <w:sz w:val="20"/>
              </w:rPr>
              <w:t>NM</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Montserrat;sans-serif" w:hAnsi="Montserrat;sans-serif"/>
          <w:b/>
          <w:color w:val="000000"/>
          <w:sz w:val="20"/>
          <w:u w:val="single"/>
        </w:rPr>
      </w:pPr>
      <w:r>
        <w:rPr>
          <w:rFonts w:ascii="Montserrat;sans-serif" w:hAnsi="Montserrat;sans-serif"/>
          <w:b/>
          <w:color w:val="000000"/>
          <w:sz w:val="20"/>
          <w:u w:val="single"/>
        </w:rPr>
        <w:t>Q2 2026 Summary Results (Non-GAAP)</w:t>
      </w:r>
    </w:p>
    <w:tbl>
      <w:tblPr>
        <w:tblW w:w="9207" w:type="dxa"/>
        <w:jc w:val="left"/>
        <w:tblInd w:w="0" w:type="dxa"/>
        <w:tblLayout w:type="fixed"/>
        <w:tblCellMar>
          <w:top w:w="28" w:type="dxa"/>
          <w:left w:w="28" w:type="dxa"/>
          <w:bottom w:w="28" w:type="dxa"/>
          <w:right w:w="28" w:type="dxa"/>
        </w:tblCellMar>
      </w:tblPr>
      <w:tblGrid>
        <w:gridCol w:w="1919"/>
        <w:gridCol w:w="1684"/>
        <w:gridCol w:w="1692"/>
        <w:gridCol w:w="109"/>
        <w:gridCol w:w="109"/>
        <w:gridCol w:w="109"/>
        <w:gridCol w:w="109"/>
        <w:gridCol w:w="109"/>
        <w:gridCol w:w="109"/>
        <w:gridCol w:w="109"/>
        <w:gridCol w:w="109"/>
        <w:gridCol w:w="109"/>
        <w:gridCol w:w="249"/>
        <w:gridCol w:w="249"/>
        <w:gridCol w:w="251"/>
        <w:gridCol w:w="109"/>
        <w:gridCol w:w="109"/>
        <w:gridCol w:w="109"/>
        <w:gridCol w:w="249"/>
        <w:gridCol w:w="249"/>
        <w:gridCol w:w="251"/>
        <w:gridCol w:w="109"/>
        <w:gridCol w:w="109"/>
        <w:gridCol w:w="109"/>
        <w:gridCol w:w="227"/>
        <w:gridCol w:w="227"/>
        <w:gridCol w:w="325"/>
      </w:tblGrid>
      <w:tr>
        <w:trPr/>
        <w:tc>
          <w:tcPr>
            <w:tcW w:w="1919"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color w:val="000000"/>
                <w:sz w:val="16"/>
              </w:rPr>
            </w:pPr>
            <w:r>
              <w:rPr>
                <w:rFonts w:ascii="Montserrat;sans-serif" w:hAnsi="Montserrat;sans-serif"/>
                <w:b/>
                <w:color w:val="000000"/>
                <w:sz w:val="16"/>
              </w:rPr>
              <w:t>(in millions, except per share amount and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Q2 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Q2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color w:val="000000"/>
                <w:sz w:val="20"/>
              </w:rPr>
            </w:pPr>
            <w:r>
              <w:rPr>
                <w:rFonts w:ascii="Montserrat;sans-serif" w:hAnsi="Montserrat;sans-serif"/>
                <w:b/>
                <w:color w:val="000000"/>
                <w:sz w:val="20"/>
              </w:rPr>
              <w:t>YoY</w:t>
            </w:r>
          </w:p>
        </w:tc>
      </w:tr>
      <w:tr>
        <w:trPr/>
        <w:tc>
          <w:tcPr>
            <w:tcW w:w="5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Constant Currency Sales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i/>
                <w:color w:val="000000"/>
                <w:sz w:val="20"/>
              </w:rPr>
            </w:pPr>
            <w:r>
              <w:rPr>
                <w:rFonts w:ascii="Montserrat;sans-serif" w:hAnsi="Montserrat;sans-serif"/>
                <w:b w:val="false"/>
                <w:i/>
                <w:color w:val="000000"/>
                <w:sz w:val="20"/>
              </w:rPr>
              <w:t>(6.3%)</w:t>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$197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i/>
                <w:color w:val="000000"/>
                <w:sz w:val="20"/>
              </w:rPr>
            </w:pPr>
            <w:r>
              <w:rPr>
                <w:rFonts w:ascii="Montserrat;sans-serif" w:hAnsi="Montserrat;sans-serif"/>
                <w:b w:val="false"/>
                <w:i/>
                <w:color w:val="000000"/>
                <w:sz w:val="20"/>
              </w:rPr>
              <w:t>(3.3%)</w:t>
            </w:r>
          </w:p>
        </w:tc>
      </w:tr>
      <w:tr>
        <w:trPr/>
        <w:tc>
          <w:tcPr>
            <w:tcW w:w="5295" w:type="dxa"/>
            <w:gridSpan w:val="3"/>
            <w:tcBorders/>
            <w:shd w:fill="CDFFCC" w:val="clear"/>
            <w:tcMar>
              <w:top w:w="0" w:type="dxa"/>
              <w:left w:w="0" w:type="dxa"/>
              <w:bottom w:w="0" w:type="dxa"/>
              <w:right w:w="0" w:type="dxa"/>
            </w:tcMar>
            <w:vAlign w:val="center"/>
          </w:tcPr>
          <w:p>
            <w:pPr>
              <w:pStyle w:val="TableContents"/>
              <w:bidi w:val="0"/>
              <w:spacing w:lineRule="auto" w:line="199" w:before="0" w:after="283"/>
              <w:jc w:val="left"/>
              <w:rPr>
                <w:rFonts w:ascii="Montserrat;sans-serif" w:hAnsi="Montserrat;sans-serif"/>
                <w:b w:val="false"/>
                <w:color w:val="000000"/>
                <w:sz w:val="20"/>
              </w:rPr>
            </w:pPr>
            <w:r>
              <w:rPr>
                <w:rFonts w:ascii="Montserrat;sans-serif" w:hAnsi="Montserrat;sans-serif"/>
                <w:b w:val="false"/>
                <w:color w:val="000000"/>
                <w:sz w:val="20"/>
              </w:rPr>
              <w:t>Adjusted EBITDA Margin</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i/>
                <w:color w:val="000000"/>
                <w:sz w:val="20"/>
              </w:rPr>
            </w:pPr>
            <w:r>
              <w:rPr>
                <w:rFonts w:ascii="Montserrat;sans-serif" w:hAnsi="Montserrat;sans-serif"/>
                <w:b w:val="false"/>
                <w:i/>
                <w:color w:val="000000"/>
                <w:sz w:val="20"/>
              </w:rPr>
              <w:t>21.3%</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i/>
                <w:color w:val="000000"/>
                <w:sz w:val="20"/>
              </w:rPr>
            </w:pPr>
            <w:r>
              <w:rPr>
                <w:rFonts w:ascii="Montserrat;sans-serif" w:hAnsi="Montserrat;sans-serif"/>
                <w:b w:val="false"/>
                <w:i/>
                <w:color w:val="000000"/>
                <w:sz w:val="20"/>
              </w:rPr>
              <w:t>21.1%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r>
      <w:tr>
        <w:trPr/>
        <w:tc>
          <w:tcPr>
            <w:tcW w:w="5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20"/>
              </w:rPr>
            </w:pPr>
            <w:r>
              <w:rPr>
                <w:rFonts w:ascii="Montserrat;sans-serif" w:hAnsi="Montserrat;sans-serif"/>
                <w:b w:val="false"/>
                <w:color w:val="000000"/>
                <w:sz w:val="20"/>
              </w:rPr>
              <w:t>Adjusted EPS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20"/>
              </w:rPr>
            </w:pPr>
            <w:r>
              <w:rPr>
                <w:rFonts w:ascii="Montserrat;sans-serif" w:hAnsi="Montserrat;sans-serif"/>
                <w:b w:val="false"/>
                <w:color w:val="000000"/>
                <w:sz w:val="20"/>
              </w:rPr>
              <w:t>$0.52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i/>
                <w:color w:val="000000"/>
                <w:sz w:val="20"/>
              </w:rPr>
            </w:pPr>
            <w:r>
              <w:rPr>
                <w:rFonts w:ascii="Montserrat;sans-serif" w:hAnsi="Montserrat;sans-serif"/>
                <w:b w:val="false"/>
                <w:i/>
                <w:color w:val="000000"/>
                <w:sz w:val="20"/>
              </w:rPr>
              <w:t>(1.6%)</w:t>
            </w:r>
          </w:p>
        </w:tc>
      </w:tr>
    </w:tbl>
    <w:p>
      <w:pPr>
        <w:pStyle w:val="TextBody"/>
        <w:bidi w:val="0"/>
        <w:spacing w:lineRule="auto" w:line="288" w:before="0" w:after="0"/>
        <w:jc w:val="left"/>
        <w:rPr/>
      </w:pPr>
      <w:r>
        <w:rPr>
          <w:rFonts w:ascii="Montserrat;sans-serif" w:hAnsi="Montserrat;sans-serif"/>
          <w:b w:val="false"/>
          <w:color w:val="000000"/>
          <w:sz w:val="8"/>
        </w:rPr>
        <w:br/>
      </w:r>
      <w:r>
        <w:rPr>
          <w:rFonts w:ascii="Montserrat;sans-serif" w:hAnsi="Montserrat;sans-serif"/>
          <w:b w:val="false"/>
          <w:color w:val="000000"/>
          <w:sz w:val="12"/>
        </w:rPr>
        <w:t>NM - not meaningful</w:t>
      </w:r>
    </w:p>
    <w:p>
      <w:pPr>
        <w:pStyle w:val="TextBody"/>
        <w:bidi w:val="0"/>
        <w:spacing w:lineRule="auto" w:line="288" w:before="0" w:after="0"/>
        <w:jc w:val="left"/>
        <w:rPr>
          <w:rFonts w:ascii="Montserrat;sans-serif" w:hAnsi="Montserrat;sans-serif"/>
          <w:b w:val="false"/>
          <w:color w:val="000000"/>
          <w:sz w:val="12"/>
        </w:rPr>
      </w:pPr>
      <w:r>
        <w:rPr>
          <w:rFonts w:ascii="Montserrat;sans-serif" w:hAnsi="Montserrat;sans-serif"/>
          <w:b w:val="false"/>
          <w:color w:val="000000"/>
          <w:sz w:val="12"/>
        </w:rPr>
        <w:t>Percentages are based on actual values and may not reconcile due to rounding.</w:t>
      </w:r>
    </w:p>
    <w:p>
      <w:pPr>
        <w:pStyle w:val="TextBody"/>
        <w:bidi w:val="0"/>
        <w:spacing w:lineRule="auto" w:line="288" w:before="0" w:after="0"/>
        <w:jc w:val="left"/>
        <w:rPr/>
      </w:pPr>
      <w:r>
        <w:rPr>
          <w:rFonts w:ascii="Montserrat;sans-serif" w:hAnsi="Montserrat;sans-serif"/>
          <w:b w:val="false"/>
          <w:color w:val="000000"/>
          <w:sz w:val="8"/>
        </w:rPr>
        <w:t xml:space="preserve">[1] </w:t>
      </w:r>
      <w:r>
        <w:rPr>
          <w:rFonts w:ascii="Montserrat;sans-serif" w:hAnsi="Montserrat;sans-serif"/>
          <w:b w:val="false"/>
          <w:color w:val="000000"/>
          <w:sz w:val="12"/>
        </w:rPr>
        <w:t>Weighted-average shares outstanding used to calculate diluted loss per share for the second quarter of 2025 excludes potential dilutive common shares.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Montserrat;sans-serif" w:hAnsi="Montserrat;sans-serif"/>
          <w:b/>
          <w:color w:val="000000"/>
          <w:sz w:val="20"/>
          <w:u w:val="single"/>
        </w:rPr>
      </w:pPr>
      <w:r>
        <w:rPr>
          <w:rFonts w:ascii="Montserrat;sans-serif" w:hAnsi="Montserrat;sans-serif"/>
          <w:b/>
          <w:color w:val="000000"/>
          <w:sz w:val="20"/>
          <w:u w:val="single"/>
        </w:rPr>
        <w:t>Q2 2026 Results by Region and Segment (Reported and Non-GAAP)</w:t>
      </w:r>
    </w:p>
    <w:p>
      <w:pPr>
        <w:pStyle w:val="TextBody"/>
        <w:bidi w:val="0"/>
        <w:spacing w:lineRule="auto" w:line="288" w:before="0" w:after="0"/>
        <w:jc w:val="left"/>
        <w:rPr>
          <w:rFonts w:ascii="Montserrat;sans-serif" w:hAnsi="Montserrat;sans-serif"/>
          <w:b/>
          <w:color w:val="000000"/>
          <w:sz w:val="16"/>
        </w:rPr>
      </w:pPr>
      <w:r>
        <w:rPr>
          <w:rFonts w:ascii="Montserrat;sans-serif" w:hAnsi="Montserrat;sans-serif"/>
          <w:b/>
          <w:color w:val="000000"/>
          <w:sz w:val="16"/>
        </w:rPr>
        <w:t>(in millions, except percentages)</w:t>
      </w:r>
    </w:p>
    <w:tbl>
      <w:tblPr>
        <w:tblW w:w="11571" w:type="dxa"/>
        <w:jc w:val="left"/>
        <w:tblInd w:w="0" w:type="dxa"/>
        <w:tblLayout w:type="fixed"/>
        <w:tblCellMar>
          <w:top w:w="28" w:type="dxa"/>
          <w:left w:w="28" w:type="dxa"/>
          <w:bottom w:w="28" w:type="dxa"/>
          <w:right w:w="28" w:type="dxa"/>
        </w:tblCellMar>
      </w:tblPr>
      <w:tblGrid>
        <w:gridCol w:w="555"/>
        <w:gridCol w:w="277"/>
        <w:gridCol w:w="279"/>
        <w:gridCol w:w="211"/>
        <w:gridCol w:w="466"/>
        <w:gridCol w:w="109"/>
        <w:gridCol w:w="109"/>
        <w:gridCol w:w="109"/>
        <w:gridCol w:w="109"/>
        <w:gridCol w:w="211"/>
        <w:gridCol w:w="466"/>
        <w:gridCol w:w="109"/>
        <w:gridCol w:w="109"/>
        <w:gridCol w:w="109"/>
        <w:gridCol w:w="109"/>
        <w:gridCol w:w="315"/>
        <w:gridCol w:w="315"/>
        <w:gridCol w:w="316"/>
        <w:gridCol w:w="315"/>
        <w:gridCol w:w="315"/>
        <w:gridCol w:w="316"/>
        <w:gridCol w:w="109"/>
        <w:gridCol w:w="109"/>
        <w:gridCol w:w="109"/>
        <w:gridCol w:w="295"/>
        <w:gridCol w:w="295"/>
        <w:gridCol w:w="296"/>
        <w:gridCol w:w="294"/>
        <w:gridCol w:w="294"/>
        <w:gridCol w:w="298"/>
        <w:gridCol w:w="109"/>
        <w:gridCol w:w="109"/>
        <w:gridCol w:w="109"/>
        <w:gridCol w:w="295"/>
        <w:gridCol w:w="295"/>
        <w:gridCol w:w="296"/>
        <w:gridCol w:w="295"/>
        <w:gridCol w:w="295"/>
        <w:gridCol w:w="296"/>
        <w:gridCol w:w="109"/>
        <w:gridCol w:w="109"/>
        <w:gridCol w:w="109"/>
        <w:gridCol w:w="295"/>
        <w:gridCol w:w="295"/>
        <w:gridCol w:w="296"/>
        <w:gridCol w:w="272"/>
        <w:gridCol w:w="272"/>
        <w:gridCol w:w="387"/>
      </w:tblGrid>
      <w:tr>
        <w:trPr/>
        <w:tc>
          <w:tcPr>
            <w:tcW w:w="55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Percentage Change</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6"/>
              </w:rPr>
            </w:pPr>
            <w:r>
              <w:rPr>
                <w:rFonts w:ascii="Montserrat;sans-serif" w:hAnsi="Montserrat;sans-serif"/>
                <w:b w:val="false"/>
                <w:color w:val="000000"/>
                <w:sz w:val="16"/>
              </w:rPr>
              <w:t>Net Sales by Segment</w:t>
            </w:r>
          </w:p>
        </w:tc>
        <w:tc>
          <w:tcPr>
            <w:tcW w:w="189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4" w:type="dxa"/>
            <w:gridSpan w:val="3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 xml:space="preserve">Three Months Ended June 30, </w:t>
              <w:br/>
              <w:t>2026 vs. 2025</w:t>
            </w:r>
          </w:p>
        </w:tc>
      </w:tr>
      <w:tr>
        <w:trPr/>
        <w:tc>
          <w:tcPr>
            <w:tcW w:w="111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6"/>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Americas</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6"/>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EMEA</w:t>
            </w:r>
          </w:p>
        </w:tc>
        <w:tc>
          <w:tcPr>
            <w:tcW w:w="327"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6"/>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APAC</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2026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2025</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center"/>
              <w:rPr/>
            </w:pPr>
            <w:r>
              <w:rPr>
                <w:rFonts w:ascii="Montserrat;sans-serif" w:hAnsi="Montserrat;sans-serif"/>
                <w:b w:val="false"/>
                <w:color w:val="000000"/>
                <w:sz w:val="16"/>
              </w:rPr>
              <w:t>As Reported</w:t>
            </w:r>
            <w:r>
              <w:rPr>
                <w:rFonts w:ascii="Montserrat;sans-serif" w:hAnsi="Montserrat;sans-serif"/>
                <w:b w:val="false"/>
                <w:color w:val="000000"/>
                <w:sz w:val="10"/>
              </w:rPr>
              <w:t>1</w:t>
            </w:r>
          </w:p>
        </w:tc>
        <w:tc>
          <w:tcPr>
            <w:tcW w:w="946" w:type="dxa"/>
            <w:gridSpan w:val="3"/>
            <w:tcBorders/>
            <w:shd w:fill="CDFFCC" w:val="clear"/>
            <w:tcMar>
              <w:top w:w="0" w:type="dxa"/>
              <w:left w:w="0" w:type="dxa"/>
              <w:bottom w:w="0" w:type="dxa"/>
              <w:right w:w="0" w:type="dxa"/>
            </w:tcMar>
            <w:vAlign w:val="center"/>
          </w:tcPr>
          <w:p>
            <w:pPr>
              <w:pStyle w:val="TableContents"/>
              <w:bidi w:val="0"/>
              <w:spacing w:lineRule="auto" w:line="240" w:before="0" w:after="0"/>
              <w:jc w:val="center"/>
              <w:rPr/>
            </w:pPr>
            <w:r>
              <w:rPr>
                <w:rFonts w:ascii="Montserrat;sans-serif" w:hAnsi="Montserrat;sans-serif"/>
                <w:b w:val="false"/>
                <w:color w:val="000000"/>
                <w:sz w:val="16"/>
              </w:rPr>
              <w:t>Constant Currency</w:t>
            </w:r>
            <w:r>
              <w:rPr>
                <w:rFonts w:ascii="Montserrat;sans-serif" w:hAnsi="Montserrat;sans-serif"/>
                <w:b w:val="false"/>
                <w:color w:val="000000"/>
                <w:sz w:val="10"/>
              </w:rPr>
              <w:t>1</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As Reported</w:t>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Constant Currency</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As Reported</w:t>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Constant Currency</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As Reported</w:t>
            </w:r>
          </w:p>
        </w:tc>
        <w:tc>
          <w:tcPr>
            <w:tcW w:w="93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Constant Currency</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6"/>
              </w:rPr>
            </w:pPr>
            <w:r>
              <w:rPr>
                <w:rFonts w:ascii="Montserrat;sans-serif" w:hAnsi="Montserrat;sans-serif"/>
                <w:b w:val="false"/>
                <w:color w:val="000000"/>
                <w:sz w:val="16"/>
              </w:rPr>
              <w:t>Connected Technology Solutions</w:t>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c>
          <w:tcPr>
            <w:tcW w:w="46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239 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c>
          <w:tcPr>
            <w:tcW w:w="46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243 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(1.5)%</w:t>
            </w:r>
          </w:p>
        </w:tc>
        <w:tc>
          <w:tcPr>
            <w:tcW w:w="94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(3.8)%</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(7.5)%</w:t>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(9.4)%</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(2.1)%</w:t>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(5.7)%</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8.8%</w:t>
            </w:r>
          </w:p>
        </w:tc>
        <w:tc>
          <w:tcPr>
            <w:tcW w:w="93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9.5%</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6"/>
              </w:rPr>
            </w:pPr>
            <w:r>
              <w:rPr>
                <w:rFonts w:ascii="Montserrat;sans-serif" w:hAnsi="Montserrat;sans-serif"/>
                <w:b w:val="false"/>
                <w:color w:val="000000"/>
                <w:sz w:val="16"/>
              </w:rPr>
              <w:t>Essential Dental Solutions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(2.7)%</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(2.2)%</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(3.9)%</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0.2%</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(0.8)%</w:t>
            </w:r>
          </w:p>
        </w:tc>
      </w:tr>
      <w:tr>
        <w:trPr/>
        <w:tc>
          <w:tcPr>
            <w:tcW w:w="11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6"/>
              </w:rPr>
            </w:pPr>
            <w:r>
              <w:rPr>
                <w:rFonts w:ascii="Montserrat;sans-serif" w:hAnsi="Montserrat;sans-serif"/>
                <w:b w:val="false"/>
                <w:color w:val="000000"/>
                <w:sz w:val="16"/>
              </w:rPr>
              <w:t>Orthodontic and Implant Solutions</w:t>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197 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226 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(13.2)%</w:t>
            </w:r>
          </w:p>
        </w:tc>
        <w:tc>
          <w:tcPr>
            <w:tcW w:w="94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(14.9)%</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(27.1)%</w:t>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(27.6)%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2.0%</w:t>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(1.5)%</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(14.9)%</w:t>
            </w:r>
          </w:p>
        </w:tc>
        <w:tc>
          <w:tcPr>
            <w:tcW w:w="93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(15.6)%</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6"/>
              </w:rPr>
            </w:pPr>
            <w:r>
              <w:rPr>
                <w:rFonts w:ascii="Montserrat;sans-serif" w:hAnsi="Montserrat;sans-serif"/>
                <w:b w:val="false"/>
                <w:color w:val="000000"/>
                <w:sz w:val="16"/>
              </w:rPr>
              <w:t>Wellspect Healthcare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7.1%</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(22.5)%</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(20.9)%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11.9%</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9.6%</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15.2%</w:t>
            </w:r>
          </w:p>
        </w:tc>
      </w:tr>
      <w:tr>
        <w:trPr/>
        <w:tc>
          <w:tcPr>
            <w:tcW w:w="11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Total</w:t>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c>
          <w:tcPr>
            <w:tcW w:w="46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898 </w:t>
            </w:r>
          </w:p>
        </w:tc>
        <w:tc>
          <w:tcPr>
            <w:tcW w:w="1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left"/>
              <w:rPr>
                <w:rFonts w:ascii="Montserrat;sans-serif" w:hAnsi="Montserrat;sans-serif"/>
                <w:b w:val="false"/>
                <w:color w:val="000000"/>
                <w:sz w:val="16"/>
              </w:rPr>
            </w:pPr>
            <w:r>
              <w:rPr>
                <w:rFonts w:ascii="Montserrat;sans-serif" w:hAnsi="Montserrat;sans-serif"/>
                <w:b w:val="false"/>
                <w:color w:val="000000"/>
                <w:sz w:val="16"/>
              </w:rPr>
              <w:t>$</w:t>
            </w:r>
          </w:p>
        </w:tc>
        <w:tc>
          <w:tcPr>
            <w:tcW w:w="466"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right"/>
              <w:rPr>
                <w:rFonts w:ascii="Montserrat;sans-serif" w:hAnsi="Montserrat;sans-serif"/>
                <w:b w:val="false"/>
                <w:color w:val="000000"/>
                <w:sz w:val="16"/>
              </w:rPr>
            </w:pPr>
            <w:r>
              <w:rPr>
                <w:rFonts w:ascii="Montserrat;sans-serif" w:hAnsi="Montserrat;sans-serif"/>
                <w:b w:val="false"/>
                <w:color w:val="000000"/>
                <w:sz w:val="16"/>
              </w:rPr>
              <w:t>936 </w:t>
            </w:r>
          </w:p>
        </w:tc>
        <w:tc>
          <w:tcPr>
            <w:tcW w:w="109" w:type="dxa"/>
            <w:tcBorders>
              <w:top w:val="single" w:sz="8" w:space="0" w:color="000000"/>
              <w:bottom w:val="double" w:sz="8" w:space="0" w:color="000000"/>
            </w:tcBorders>
            <w:shd w:fill="CDFFC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(4.1)%</w:t>
            </w:r>
          </w:p>
        </w:tc>
        <w:tc>
          <w:tcPr>
            <w:tcW w:w="946"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(6.3)%</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(10.7)%</w:t>
            </w:r>
          </w:p>
        </w:tc>
        <w:tc>
          <w:tcPr>
            <w:tcW w:w="886"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(11.6)%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0.2%</w:t>
            </w:r>
          </w:p>
        </w:tc>
        <w:tc>
          <w:tcPr>
            <w:tcW w:w="886"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(3.6)%</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(1.0)%</w:t>
            </w:r>
          </w:p>
        </w:tc>
        <w:tc>
          <w:tcPr>
            <w:tcW w:w="931" w:type="dxa"/>
            <w:gridSpan w:val="3"/>
            <w:tcBorders>
              <w:top w:val="single" w:sz="8" w:space="0" w:color="000000"/>
              <w:bottom w:val="single" w:sz="8" w:space="0" w:color="000000"/>
            </w:tcBorders>
            <w:shd w:fill="CDFFCC" w:val="clear"/>
            <w:tcMar>
              <w:top w:w="52" w:type="dxa"/>
              <w:left w:w="0" w:type="dxa"/>
              <w:bottom w:w="30" w:type="dxa"/>
              <w:right w:w="0" w:type="dxa"/>
            </w:tcMar>
            <w:vAlign w:val="center"/>
          </w:tcPr>
          <w:p>
            <w:pPr>
              <w:pStyle w:val="TableContents"/>
              <w:bidi w:val="0"/>
              <w:spacing w:lineRule="auto" w:line="240" w:before="0" w:after="283"/>
              <w:jc w:val="center"/>
              <w:rPr>
                <w:rFonts w:ascii="Montserrat;sans-serif" w:hAnsi="Montserrat;sans-serif"/>
                <w:b w:val="false"/>
                <w:color w:val="000000"/>
                <w:sz w:val="16"/>
              </w:rPr>
            </w:pPr>
            <w:r>
              <w:rPr>
                <w:rFonts w:ascii="Montserrat;sans-serif" w:hAnsi="Montserrat;sans-serif"/>
                <w:b w:val="false"/>
                <w:color w:val="000000"/>
                <w:sz w:val="16"/>
              </w:rPr>
              <w:t>(1.2)%</w:t>
            </w:r>
          </w:p>
        </w:tc>
      </w:tr>
      <w:tr>
        <w:trPr/>
        <w:tc>
          <w:tcPr>
            <w:tcW w:w="11571" w:type="dxa"/>
            <w:gridSpan w:val="48"/>
            <w:tcBorders/>
            <w:tcMar>
              <w:top w:w="0" w:type="dxa"/>
              <w:left w:w="0" w:type="dxa"/>
              <w:bottom w:w="0" w:type="dxa"/>
              <w:right w:w="0" w:type="dxa"/>
            </w:tcMar>
            <w:vAlign w:val="center"/>
          </w:tcPr>
          <w:p>
            <w:pPr>
              <w:pStyle w:val="TableContents"/>
              <w:bidi w:val="0"/>
              <w:spacing w:lineRule="auto" w:line="240" w:before="0" w:after="283"/>
              <w:jc w:val="left"/>
              <w:rPr>
                <w:rFonts w:ascii="Montserrat;sans-serif" w:hAnsi="Montserrat;sans-serif"/>
                <w:b w:val="false"/>
                <w:color w:val="000000"/>
                <w:sz w:val="14"/>
              </w:rPr>
            </w:pPr>
            <w:r>
              <w:rPr>
                <w:rFonts w:ascii="Montserrat;sans-serif" w:hAnsi="Montserrat;sans-serif"/>
                <w:b w:val="false"/>
                <w:color w:val="000000"/>
                <w:sz w:val="14"/>
              </w:rPr>
              <w:t>(1) Constant currency sales are a Non-GAAP measure in which the reported net sales are adjusted for the impact of foreign currency changes, which is calculated by translating current period net sales using the comparable prior period's currency exchange rates. The foreign currency impact is the only reconciling item between as reported and constant currency sales.</w:t>
            </w:r>
          </w:p>
        </w:tc>
      </w:tr>
    </w:tbl>
    <w:p>
      <w:pPr>
        <w:pStyle w:val="TextBody"/>
        <w:bidi w:val="0"/>
        <w:spacing w:before="0" w:after="0"/>
        <w:jc w:val="left"/>
        <w:rPr/>
      </w:pPr>
      <w:r>
        <w:rPr/>
      </w:r>
    </w:p>
    <w:p>
      <w:pPr>
        <w:pStyle w:val="TextBody"/>
        <w:bidi w:val="0"/>
        <w:spacing w:lineRule="auto" w:line="288" w:before="0" w:after="0"/>
        <w:jc w:val="both"/>
        <w:rPr>
          <w:rFonts w:ascii="Montserrat;sans-serif" w:hAnsi="Montserrat;sans-serif"/>
          <w:b/>
          <w:color w:val="000000"/>
          <w:sz w:val="20"/>
          <w:u w:val="single"/>
        </w:rPr>
      </w:pPr>
      <w:r>
        <w:rPr>
          <w:rFonts w:ascii="Montserrat;sans-serif" w:hAnsi="Montserrat;sans-serif"/>
          <w:b/>
          <w:color w:val="000000"/>
          <w:sz w:val="20"/>
          <w:u w:val="single"/>
        </w:rPr>
        <w:t>Cash Flow and Liquidity</w:t>
      </w:r>
    </w:p>
    <w:p>
      <w:pPr>
        <w:pStyle w:val="TextBody"/>
        <w:bidi w:val="0"/>
        <w:spacing w:before="0" w:after="0"/>
        <w:jc w:val="left"/>
        <w:rPr/>
      </w:pPr>
      <w:r>
        <w:rPr/>
      </w:r>
    </w:p>
    <w:p>
      <w:pPr>
        <w:pStyle w:val="TextBody"/>
        <w:bidi w:val="0"/>
        <w:spacing w:lineRule="auto" w:line="288" w:before="0" w:after="0"/>
        <w:jc w:val="left"/>
        <w:rPr>
          <w:rFonts w:ascii="Montserrat;sans-serif" w:hAnsi="Montserrat;sans-serif"/>
          <w:b w:val="false"/>
          <w:color w:val="000000"/>
          <w:sz w:val="20"/>
        </w:rPr>
      </w:pPr>
      <w:r>
        <w:rPr>
          <w:rFonts w:ascii="Montserrat;sans-serif" w:hAnsi="Montserrat;sans-serif"/>
          <w:b w:val="false"/>
          <w:color w:val="000000"/>
          <w:sz w:val="20"/>
        </w:rPr>
        <w:t xml:space="preserve">Operating cash flow in the second quarter of 2026 was $99 million, compared to $48 million in the second quarter of 2025, primarily due to the receipt of approximately $44 million in tariff refunds and improved management of inventory and accounts payable. Free cash flow, a Non-GAAP measure, in the second quarter of 2026 was $55 million compared to $16 million in the second quarter of 2025. The Company repurchased 1.3 million shares of its common stock for a total of approximately $12 million in the second quarter of 2026. The Company had $239 million of cash and cash equivalents as of June 30, 2026. </w:t>
      </w:r>
    </w:p>
    <w:p>
      <w:pPr>
        <w:pStyle w:val="TextBody"/>
        <w:bidi w:val="0"/>
        <w:spacing w:before="0" w:after="0"/>
        <w:jc w:val="left"/>
        <w:rPr/>
      </w:pPr>
      <w:r>
        <w:rPr/>
      </w:r>
    </w:p>
    <w:p>
      <w:pPr>
        <w:pStyle w:val="TextBody"/>
        <w:bidi w:val="0"/>
        <w:spacing w:lineRule="auto" w:line="288" w:before="0" w:after="0"/>
        <w:jc w:val="both"/>
        <w:rPr>
          <w:rFonts w:ascii="Montserrat;sans-serif" w:hAnsi="Montserrat;sans-serif"/>
          <w:b/>
          <w:color w:val="000000"/>
          <w:sz w:val="20"/>
          <w:u w:val="single"/>
        </w:rPr>
      </w:pPr>
      <w:r>
        <w:rPr>
          <w:rFonts w:ascii="Montserrat;sans-serif" w:hAnsi="Montserrat;sans-serif"/>
          <w:b/>
          <w:color w:val="000000"/>
          <w:sz w:val="20"/>
          <w:u w:val="single"/>
        </w:rPr>
        <w:t>2026 Outlook</w:t>
      </w:r>
    </w:p>
    <w:p>
      <w:pPr>
        <w:pStyle w:val="TextBody"/>
        <w:bidi w:val="0"/>
        <w:spacing w:before="0" w:after="0"/>
        <w:jc w:val="both"/>
        <w:rPr/>
      </w:pPr>
      <w:r>
        <w:rPr/>
      </w:r>
    </w:p>
    <w:p>
      <w:pPr>
        <w:pStyle w:val="TextBody"/>
        <w:bidi w:val="0"/>
        <w:spacing w:lineRule="auto" w:line="288" w:before="0" w:after="0"/>
        <w:jc w:val="left"/>
        <w:rPr/>
      </w:pPr>
      <w:r>
        <w:rPr>
          <w:rFonts w:ascii="Montserrat;sans-serif" w:hAnsi="Montserrat;sans-serif"/>
          <w:b w:val="false"/>
          <w:color w:val="000000"/>
          <w:sz w:val="20"/>
        </w:rPr>
        <w:t>The Company is maintaining its 2026 outlook for net sales in the range of $3.5 billion to $3.6 billion and adjusted EPS</w:t>
      </w:r>
      <w:r>
        <w:rPr>
          <w:color w:val="000000"/>
        </w:rPr>
        <w:t xml:space="preserve"> </w:t>
      </w:r>
      <w:r>
        <w:rPr>
          <w:rFonts w:ascii="Montserrat;sans-serif" w:hAnsi="Montserrat;sans-serif"/>
          <w:b w:val="false"/>
          <w:color w:val="000000"/>
          <w:sz w:val="20"/>
        </w:rPr>
        <w:t xml:space="preserve">in the range of $1.40 to $1.50. The benefits of refunds for tariffs are not included in the outlook for 2026 adjusted EPS. </w:t>
      </w:r>
    </w:p>
    <w:p>
      <w:pPr>
        <w:pStyle w:val="TextBody"/>
        <w:bidi w:val="0"/>
        <w:spacing w:before="0" w:after="0"/>
        <w:jc w:val="left"/>
        <w:rPr/>
      </w:pPr>
      <w:r>
        <w:rPr/>
      </w:r>
    </w:p>
    <w:p>
      <w:pPr>
        <w:pStyle w:val="TextBody"/>
        <w:bidi w:val="0"/>
        <w:spacing w:lineRule="auto" w:line="288" w:before="0" w:after="0"/>
        <w:jc w:val="left"/>
        <w:rPr>
          <w:rFonts w:ascii="Montserrat;sans-serif" w:hAnsi="Montserrat;sans-serif"/>
          <w:b w:val="false"/>
          <w:color w:val="000000"/>
          <w:sz w:val="20"/>
        </w:rPr>
      </w:pPr>
      <w:r>
        <w:rPr>
          <w:rFonts w:ascii="Montserrat;sans-serif" w:hAnsi="Montserrat;sans-serif"/>
          <w:b w:val="false"/>
          <w:color w:val="000000"/>
          <w:sz w:val="20"/>
        </w:rPr>
        <w:t>We are unable to present a quantitative reconciliation of our expected earnings per diluted share to expected adjusted earnings per diluted share as we are unable to predict with reasonable certainty and without unreasonable effort, items which may include, but are not limited to, restructuring charges, transformation-related costs, impairment charges, certain tax adjustments, and other significant items. The financial impact of these items is uncertain and is dependent on various factors, including timing, and could be material to our Consolidated Statements of Operations.</w:t>
      </w:r>
    </w:p>
    <w:p>
      <w:pPr>
        <w:pStyle w:val="TextBody"/>
        <w:bidi w:val="0"/>
        <w:spacing w:before="0" w:after="0"/>
        <w:jc w:val="left"/>
        <w:rPr/>
      </w:pPr>
      <w:r>
        <w:rPr/>
      </w:r>
    </w:p>
    <w:p>
      <w:pPr>
        <w:pStyle w:val="TextBody"/>
        <w:bidi w:val="0"/>
        <w:spacing w:lineRule="auto" w:line="288" w:before="0" w:after="0"/>
        <w:jc w:val="left"/>
        <w:rPr>
          <w:rFonts w:ascii="Montserrat;sans-serif" w:hAnsi="Montserrat;sans-serif"/>
          <w:b/>
          <w:color w:val="000000"/>
          <w:sz w:val="20"/>
        </w:rPr>
      </w:pPr>
      <w:r>
        <w:rPr>
          <w:rFonts w:ascii="Montserrat;sans-serif" w:hAnsi="Montserrat;sans-serif"/>
          <w:b/>
          <w:color w:val="000000"/>
          <w:sz w:val="20"/>
        </w:rPr>
        <w:t>Conference Call/Webcast Information</w:t>
      </w:r>
    </w:p>
    <w:p>
      <w:pPr>
        <w:pStyle w:val="TextBody"/>
        <w:bidi w:val="0"/>
        <w:spacing w:lineRule="auto" w:line="288" w:before="0" w:after="0"/>
        <w:jc w:val="left"/>
        <w:rPr>
          <w:rFonts w:ascii="Montserrat;sans-serif" w:hAnsi="Montserrat;sans-serif"/>
          <w:b w:val="false"/>
          <w:color w:val="000000"/>
          <w:sz w:val="20"/>
        </w:rPr>
      </w:pPr>
      <w:r>
        <w:rPr>
          <w:rFonts w:ascii="Montserrat;sans-serif" w:hAnsi="Montserrat;sans-serif"/>
          <w:b w:val="false"/>
          <w:color w:val="000000"/>
          <w:sz w:val="20"/>
        </w:rPr>
        <w:t>Dentsply Sirona's management team will host an investor conference call and live webcast on August 6, 2026, at 4:30 p.m. ET. The live webcast and a presentation related to the call will be available on the Investors section of the Company's website at https://investor.dentsplysirona.com.</w:t>
      </w:r>
    </w:p>
    <w:p>
      <w:pPr>
        <w:pStyle w:val="TextBody"/>
        <w:bidi w:val="0"/>
        <w:spacing w:lineRule="auto" w:line="288" w:before="0" w:after="0"/>
        <w:jc w:val="left"/>
        <w:rPr>
          <w:rFonts w:ascii="Montserrat;sans-serif" w:hAnsi="Montserrat;sans-serif"/>
          <w:b w:val="false"/>
          <w:color w:val="000000"/>
          <w:sz w:val="20"/>
        </w:rPr>
      </w:pPr>
      <w:r>
        <w:rPr>
          <w:rFonts w:ascii="Montserrat;sans-serif" w:hAnsi="Montserrat;sans-serif"/>
          <w:b w:val="false"/>
          <w:color w:val="000000"/>
          <w:sz w:val="20"/>
        </w:rPr>
        <w:t>For those planning to participate on the call, please register at https://register-conf.media-server.com/register/BIa20adbc738174810a6f4b3ce44466cfa. A webcast replay of the conference call will be available on the Investors section of the Company's website following the call.</w:t>
      </w:r>
    </w:p>
    <w:p>
      <w:pPr>
        <w:pStyle w:val="TextBody"/>
        <w:bidi w:val="0"/>
        <w:spacing w:before="0" w:after="0"/>
        <w:jc w:val="both"/>
        <w:rPr/>
      </w:pPr>
      <w:r>
        <w:rPr/>
      </w:r>
    </w:p>
    <w:p>
      <w:pPr>
        <w:pStyle w:val="TextBody"/>
        <w:bidi w:val="0"/>
        <w:spacing w:lineRule="auto" w:line="288" w:before="0" w:after="0"/>
        <w:jc w:val="left"/>
        <w:rPr>
          <w:rFonts w:ascii="Montserrat;sans-serif" w:hAnsi="Montserrat;sans-serif"/>
          <w:b/>
          <w:color w:val="000000"/>
          <w:sz w:val="20"/>
        </w:rPr>
      </w:pPr>
      <w:r>
        <w:rPr>
          <w:rFonts w:ascii="Montserrat;sans-serif" w:hAnsi="Montserrat;sans-serif"/>
          <w:b/>
          <w:color w:val="000000"/>
          <w:sz w:val="20"/>
        </w:rPr>
        <w:t>About Dentsply Sirona</w:t>
      </w:r>
    </w:p>
    <w:p>
      <w:pPr>
        <w:pStyle w:val="TextBody"/>
        <w:bidi w:val="0"/>
        <w:spacing w:lineRule="auto" w:line="288"/>
        <w:jc w:val="left"/>
        <w:rPr>
          <w:rFonts w:ascii="Montserrat;sans-serif" w:hAnsi="Montserrat;sans-serif"/>
          <w:b w:val="false"/>
          <w:color w:val="000000"/>
          <w:sz w:val="20"/>
        </w:rPr>
      </w:pPr>
      <w:r>
        <w:rPr>
          <w:rFonts w:ascii="Montserrat;sans-serif" w:hAnsi="Montserrat;sans-serif"/>
          <w:b w:val="false"/>
          <w:color w:val="000000"/>
          <w:sz w:val="20"/>
        </w:rPr>
        <w:t xml:space="preserve">Dentsply Sirona is the world's largest diversified manufacturer of professional dental products and technologies, with over a century of innovation and service to the dental industry and patients </w:t>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Montserrat;sans-serif" w:hAnsi="Montserrat;sans-serif"/>
          <w:b w:val="false"/>
          <w:color w:val="000000"/>
          <w:sz w:val="20"/>
        </w:rPr>
      </w:pPr>
      <w:r>
        <w:rPr>
          <w:rFonts w:ascii="Montserrat;sans-serif" w:hAnsi="Montserrat;sans-serif"/>
          <w:b w:val="false"/>
          <w:color w:val="000000"/>
          <w:sz w:val="20"/>
        </w:rPr>
        <w:t>worldwide. Dentsply Sirona develops, manufactures, and markets a comprehensive solutions offering, including dental and oral health products as well as other consumable medical devices under a strong portfolio of world-class brands. Dentsply Sirona's innovative products provide high-quality, effective and connected solutions to advance patient care and deliver better and safer dental care. Dentsply Sirona is headquartered in Charlotte, North Carolina. The Company's shares are listed in the United States on Nasdaq under the symbol XRAY. Visit www.dentsplysirona.com for more information about Dentsply Sirona and its products.</w:t>
      </w:r>
    </w:p>
    <w:p>
      <w:pPr>
        <w:pStyle w:val="TextBody"/>
        <w:bidi w:val="0"/>
        <w:spacing w:before="0" w:after="0"/>
        <w:jc w:val="left"/>
        <w:rPr/>
      </w:pPr>
      <w:r>
        <w:rPr/>
      </w:r>
    </w:p>
    <w:p>
      <w:pPr>
        <w:pStyle w:val="TextBody"/>
        <w:bidi w:val="0"/>
        <w:spacing w:lineRule="auto" w:line="288" w:before="0" w:after="0"/>
        <w:jc w:val="both"/>
        <w:rPr>
          <w:rFonts w:ascii="Montserrat;sans-serif" w:hAnsi="Montserrat;sans-serif"/>
          <w:b/>
          <w:color w:val="0D0D0D"/>
          <w:sz w:val="20"/>
        </w:rPr>
      </w:pPr>
      <w:r>
        <w:rPr>
          <w:rFonts w:ascii="Montserrat;sans-serif" w:hAnsi="Montserrat;sans-serif"/>
          <w:b/>
          <w:color w:val="0D0D0D"/>
          <w:sz w:val="20"/>
        </w:rPr>
        <w:t>Contact Information:</w:t>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Investors:</w:t>
      </w:r>
    </w:p>
    <w:p>
      <w:pPr>
        <w:pStyle w:val="TextBody"/>
        <w:bidi w:val="0"/>
        <w:spacing w:lineRule="auto" w:line="288" w:before="0" w:after="0"/>
        <w:jc w:val="both"/>
        <w:rPr>
          <w:rFonts w:ascii="Montserrat;sans-serif" w:hAnsi="Montserrat;sans-serif"/>
          <w:b w:val="false"/>
          <w:color w:val="0D0D0D"/>
          <w:sz w:val="20"/>
        </w:rPr>
      </w:pPr>
      <w:r>
        <w:rPr>
          <w:rFonts w:ascii="Montserrat;sans-serif" w:hAnsi="Montserrat;sans-serif"/>
          <w:b w:val="false"/>
          <w:color w:val="0D0D0D"/>
          <w:sz w:val="20"/>
        </w:rPr>
        <w:t>Wade Moody</w:t>
      </w:r>
    </w:p>
    <w:p>
      <w:pPr>
        <w:pStyle w:val="TextBody"/>
        <w:bidi w:val="0"/>
        <w:spacing w:lineRule="auto" w:line="288" w:before="0" w:after="0"/>
        <w:jc w:val="both"/>
        <w:rPr>
          <w:rFonts w:ascii="Montserrat;sans-serif" w:hAnsi="Montserrat;sans-serif"/>
          <w:b w:val="false"/>
          <w:color w:val="0D0D0D"/>
          <w:sz w:val="20"/>
        </w:rPr>
      </w:pPr>
      <w:r>
        <w:rPr>
          <w:rFonts w:ascii="Montserrat;sans-serif" w:hAnsi="Montserrat;sans-serif"/>
          <w:b w:val="false"/>
          <w:color w:val="0D0D0D"/>
          <w:sz w:val="20"/>
        </w:rPr>
        <w:t>Senior Manager, Investor Relations</w:t>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Investorrelations@dentsplysirona.com</w:t>
      </w:r>
    </w:p>
    <w:p>
      <w:pPr>
        <w:pStyle w:val="TextBody"/>
        <w:bidi w:val="0"/>
        <w:spacing w:before="0" w:after="0"/>
        <w:jc w:val="both"/>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Press:</w:t>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Marion Par-Weixlberger</w:t>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Vice President, Public Relations, Corporate Communications &amp; Brand</w:t>
      </w:r>
    </w:p>
    <w:p>
      <w:pPr>
        <w:pStyle w:val="TextBody"/>
        <w:bidi w:val="0"/>
        <w:spacing w:lineRule="auto" w:line="288"/>
        <w:jc w:val="left"/>
        <w:rPr>
          <w:rFonts w:ascii="Montserrat;sans-serif" w:hAnsi="Montserrat;sans-serif"/>
          <w:b w:val="false"/>
          <w:color w:val="000000"/>
          <w:sz w:val="20"/>
        </w:rPr>
      </w:pPr>
      <w:r>
        <w:rPr>
          <w:rFonts w:ascii="Montserrat;sans-serif" w:hAnsi="Montserrat;sans-serif"/>
          <w:b w:val="false"/>
          <w:color w:val="000000"/>
          <w:sz w:val="20"/>
        </w:rPr>
        <w:t>Publicrelations@dentsplysirona.com</w:t>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Montserrat;sans-serif" w:hAnsi="Montserrat;sans-serif"/>
          <w:b/>
          <w:color w:val="000000"/>
          <w:sz w:val="20"/>
          <w:u w:val="single"/>
        </w:rPr>
      </w:pPr>
      <w:r>
        <w:rPr>
          <w:rFonts w:ascii="Montserrat;sans-serif" w:hAnsi="Montserrat;sans-serif"/>
          <w:b/>
          <w:color w:val="000000"/>
          <w:sz w:val="20"/>
          <w:u w:val="single"/>
        </w:rPr>
        <w:t>Forward-Looking Statements and Associated Risks</w:t>
      </w:r>
    </w:p>
    <w:p>
      <w:pPr>
        <w:pStyle w:val="TextBody"/>
        <w:bidi w:val="0"/>
        <w:spacing w:before="0" w:after="0"/>
        <w:jc w:val="left"/>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All statements in this Press Release that do not directly and exclusively relate to historical facts constitute "forward-looking statements." Such statements are subject to numerous assumptions, risks, uncertainties and other factors that could cause actual results to differ materially from those described in such statements, many of which are outside of our control, including those described in Part I, Item 1A, "Risk Factors" of the Company's most recent Annual Report on Form 10-K, Part II, Item 1A, "Risk Factors" of the Company's Quarterly Reports on Form 10-Q for any subsequent fiscal quarters, and any updating information or other factors which may be described in the Company's other filings with the Securities and Exchange Commission (the "SEC"). No assurance can be given that any expectation, belief, goal or plan set forth in any forward-looking statement can or will be achieved, and readers are cautioned not to place undue reliance on such statements which speak only as of the date they are made. We do not undertake any obligation to update or release any revisions to any forward-looking statement or to report any events or circumstances after the date of this Press Release or to reflect the occurrence of unanticipated events. Investors should understand it is not possible to predict or identify all such factors or risks. As such, you should not consider the risks identified in the Company's SEC filings to be a complete discussion of all potential risks or uncertainties associated with an investment in the Company.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DENTSPLY SIRONA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millions, except per share amounts)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38"/>
        <w:gridCol w:w="1592"/>
        <w:gridCol w:w="1581"/>
        <w:gridCol w:w="256"/>
        <w:gridCol w:w="621"/>
        <w:gridCol w:w="132"/>
        <w:gridCol w:w="132"/>
        <w:gridCol w:w="132"/>
        <w:gridCol w:w="132"/>
        <w:gridCol w:w="256"/>
        <w:gridCol w:w="705"/>
        <w:gridCol w:w="132"/>
        <w:gridCol w:w="109"/>
        <w:gridCol w:w="109"/>
        <w:gridCol w:w="109"/>
        <w:gridCol w:w="222"/>
        <w:gridCol w:w="649"/>
        <w:gridCol w:w="114"/>
        <w:gridCol w:w="114"/>
        <w:gridCol w:w="114"/>
        <w:gridCol w:w="114"/>
        <w:gridCol w:w="222"/>
        <w:gridCol w:w="649"/>
        <w:gridCol w:w="171"/>
      </w:tblGrid>
      <w:tr>
        <w:trPr/>
        <w:tc>
          <w:tcPr>
            <w:tcW w:w="1838"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Six Months Ended June 30,</w:t>
            </w:r>
          </w:p>
        </w:tc>
      </w:tr>
      <w:tr>
        <w:trPr/>
        <w:tc>
          <w:tcPr>
            <w:tcW w:w="5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r>
      <w:tr>
        <w:trPr/>
        <w:tc>
          <w:tcPr>
            <w:tcW w:w="501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sales</w:t>
            </w:r>
          </w:p>
        </w:tc>
        <w:tc>
          <w:tcPr>
            <w:tcW w:w="25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898 </w:t>
            </w:r>
          </w:p>
        </w:tc>
        <w:tc>
          <w:tcPr>
            <w:tcW w:w="132"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5"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936 </w:t>
            </w:r>
          </w:p>
        </w:tc>
        <w:tc>
          <w:tcPr>
            <w:tcW w:w="132"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1,778 </w:t>
            </w:r>
          </w:p>
        </w:tc>
        <w:tc>
          <w:tcPr>
            <w:tcW w:w="114"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1,815 </w:t>
            </w:r>
          </w:p>
        </w:tc>
        <w:tc>
          <w:tcPr>
            <w:tcW w:w="171"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products sold</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 expenses</w:t>
            </w:r>
          </w:p>
        </w:tc>
        <w:tc>
          <w:tcPr>
            <w:tcW w:w="100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and intangible asset impairments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other costs</w:t>
            </w:r>
          </w:p>
        </w:tc>
        <w:tc>
          <w:tcPr>
            <w:tcW w:w="8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8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and expenses:</w:t>
            </w:r>
          </w:p>
        </w:tc>
        <w:tc>
          <w:tcPr>
            <w:tcW w:w="100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8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8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1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 (benefit) for income taxes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Net (loss) income attributable to noncontrolling interest</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Dentsply Sirona</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(loss) per common share attributable to Dentsply Sirona:</w:t>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56"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0.18 </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5"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0.14 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w:t>
            </w:r>
          </w:p>
        </w:tc>
        <w:tc>
          <w:tcPr>
            <w:tcW w:w="1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w:t>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877"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199.7 </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199.3 </w:t>
            </w:r>
          </w:p>
        </w:tc>
        <w:tc>
          <w:tcPr>
            <w:tcW w:w="13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199.8 </w:t>
            </w:r>
          </w:p>
        </w:tc>
        <w:tc>
          <w:tcPr>
            <w:tcW w:w="11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199.2 </w:t>
            </w:r>
          </w:p>
        </w:tc>
        <w:tc>
          <w:tcPr>
            <w:tcW w:w="1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DENTSPLY SIRONA INC. AND SUBSIDIARIES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millions, except share and per share amounts)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(unaudited)</w:t>
      </w:r>
    </w:p>
    <w:tbl>
      <w:tblPr>
        <w:tblW w:w="8079" w:type="dxa"/>
        <w:jc w:val="center"/>
        <w:tblInd w:w="0" w:type="dxa"/>
        <w:tblLayout w:type="fixed"/>
        <w:tblCellMar>
          <w:top w:w="28" w:type="dxa"/>
          <w:left w:w="28" w:type="dxa"/>
          <w:bottom w:w="28" w:type="dxa"/>
          <w:right w:w="28" w:type="dxa"/>
        </w:tblCellMar>
      </w:tblPr>
      <w:tblGrid>
        <w:gridCol w:w="1652"/>
        <w:gridCol w:w="1449"/>
        <w:gridCol w:w="1473"/>
        <w:gridCol w:w="291"/>
        <w:gridCol w:w="893"/>
        <w:gridCol w:w="150"/>
        <w:gridCol w:w="109"/>
        <w:gridCol w:w="109"/>
        <w:gridCol w:w="109"/>
        <w:gridCol w:w="384"/>
        <w:gridCol w:w="1177"/>
        <w:gridCol w:w="283"/>
      </w:tblGrid>
      <w:tr>
        <w:trPr/>
        <w:tc>
          <w:tcPr>
            <w:tcW w:w="1652"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 2025</w:t>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33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9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15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7"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326 </w:t>
            </w:r>
          </w:p>
        </w:tc>
        <w:tc>
          <w:tcPr>
            <w:tcW w:w="28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and notes receivable-trade, net</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 net</w:t>
            </w:r>
          </w:p>
        </w:tc>
        <w:tc>
          <w:tcPr>
            <w:tcW w:w="118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665 </w:t>
            </w:r>
          </w:p>
        </w:tc>
        <w:tc>
          <w:tcPr>
            <w:tcW w:w="15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642 </w:t>
            </w:r>
          </w:p>
        </w:tc>
        <w:tc>
          <w:tcPr>
            <w:tcW w:w="28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184"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1,928 </w:t>
            </w:r>
          </w:p>
        </w:tc>
        <w:tc>
          <w:tcPr>
            <w:tcW w:w="150"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2,023 </w:t>
            </w:r>
          </w:p>
        </w:tc>
        <w:tc>
          <w:tcPr>
            <w:tcW w:w="283"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18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845 </w:t>
            </w:r>
          </w:p>
        </w:tc>
        <w:tc>
          <w:tcPr>
            <w:tcW w:w="15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861 </w:t>
            </w:r>
          </w:p>
        </w:tc>
        <w:tc>
          <w:tcPr>
            <w:tcW w:w="28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 net</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Identifiable intangible assets, net</w:t>
            </w:r>
          </w:p>
        </w:tc>
        <w:tc>
          <w:tcPr>
            <w:tcW w:w="118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870 </w:t>
            </w:r>
          </w:p>
        </w:tc>
        <w:tc>
          <w:tcPr>
            <w:tcW w:w="15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974 </w:t>
            </w:r>
          </w:p>
        </w:tc>
        <w:tc>
          <w:tcPr>
            <w:tcW w:w="28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18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294 </w:t>
            </w:r>
          </w:p>
        </w:tc>
        <w:tc>
          <w:tcPr>
            <w:tcW w:w="15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284 </w:t>
            </w:r>
          </w:p>
        </w:tc>
        <w:tc>
          <w:tcPr>
            <w:tcW w:w="28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5,204 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5,429 </w:t>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doub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Equity</w:t>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3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118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664 </w:t>
            </w:r>
          </w:p>
        </w:tc>
        <w:tc>
          <w:tcPr>
            <w:tcW w:w="15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700 </w:t>
            </w:r>
          </w:p>
        </w:tc>
        <w:tc>
          <w:tcPr>
            <w:tcW w:w="28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Notes payable and current portion of long-term debt</w:t>
            </w:r>
          </w:p>
        </w:tc>
        <w:tc>
          <w:tcPr>
            <w:tcW w:w="118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228 </w:t>
            </w:r>
          </w:p>
        </w:tc>
        <w:tc>
          <w:tcPr>
            <w:tcW w:w="15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313 </w:t>
            </w:r>
          </w:p>
        </w:tc>
        <w:tc>
          <w:tcPr>
            <w:tcW w:w="28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1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1,185 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1,343 </w:t>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18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5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28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liabilities</w:t>
            </w:r>
          </w:p>
        </w:tc>
        <w:tc>
          <w:tcPr>
            <w:tcW w:w="118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505 </w:t>
            </w:r>
          </w:p>
        </w:tc>
        <w:tc>
          <w:tcPr>
            <w:tcW w:w="15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544 </w:t>
            </w:r>
          </w:p>
        </w:tc>
        <w:tc>
          <w:tcPr>
            <w:tcW w:w="283"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1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3,853 </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4,089 </w:t>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Equity</w:t>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Equity</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DENTSPLY SIRONA INC. AND SUBSIDIARIES</w:t>
      </w:r>
    </w:p>
    <w:p>
      <w:pPr>
        <w:pStyle w:val="TextBody"/>
        <w:bidi w:val="0"/>
        <w:spacing w:lineRule="auto" w:line="288" w:before="0" w:after="0"/>
        <w:jc w:val="left"/>
        <w:rPr>
          <w:rFonts w:ascii="Arial;sans-serif" w:hAnsi="Arial;sans-serif"/>
          <w:b/>
          <w:color w:val="000000"/>
          <w:sz w:val="16"/>
        </w:rPr>
      </w:pPr>
      <w:r>
        <w:rPr>
          <w:rFonts w:ascii="Arial;sans-serif" w:hAnsi="Arial;sans-serif"/>
          <w:b/>
          <w:color w:val="000000"/>
          <w:sz w:val="16"/>
        </w:rPr>
        <w:t>CONSOLIDATED STATEMENTS OF CASH FLOWS</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 millions)</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(unaudited)</w:t>
      </w:r>
    </w:p>
    <w:tbl>
      <w:tblPr>
        <w:tblW w:w="7541" w:type="dxa"/>
        <w:jc w:val="left"/>
        <w:tblInd w:w="0" w:type="dxa"/>
        <w:tblLayout w:type="fixed"/>
        <w:tblCellMar>
          <w:top w:w="28" w:type="dxa"/>
          <w:left w:w="28" w:type="dxa"/>
          <w:bottom w:w="28" w:type="dxa"/>
          <w:right w:w="28" w:type="dxa"/>
        </w:tblCellMar>
      </w:tblPr>
      <w:tblGrid>
        <w:gridCol w:w="1979"/>
        <w:gridCol w:w="1736"/>
        <w:gridCol w:w="1744"/>
        <w:gridCol w:w="224"/>
        <w:gridCol w:w="481"/>
        <w:gridCol w:w="124"/>
        <w:gridCol w:w="124"/>
        <w:gridCol w:w="124"/>
        <w:gridCol w:w="124"/>
        <w:gridCol w:w="224"/>
        <w:gridCol w:w="481"/>
        <w:gridCol w:w="176"/>
      </w:tblGrid>
      <w:tr>
        <w:trPr/>
        <w:tc>
          <w:tcPr>
            <w:tcW w:w="1979"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Six Months Ended June 30,</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2026</w:t>
            </w:r>
          </w:p>
        </w:tc>
        <w:tc>
          <w:tcPr>
            <w:tcW w:w="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2025</w:t>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Cash flows from operating activities:</w:t>
            </w:r>
          </w:p>
        </w:tc>
        <w:tc>
          <w:tcPr>
            <w:tcW w:w="82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income (loss)</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Adjustments to reconcile net loss to net cash provided by operating activities:</w:t>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Depreciation</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74 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68 </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Amortization of intangible assets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Goodwill asset impairment</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156 </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Indefinite-lived intangible asset impairment</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Deferred income taxes</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(42)</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(136)</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Stock-based compensation expense</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 non-cash (income) expense</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19 </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Gain on disposal of assets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Changes in operating assets and liabilities:</w:t>
            </w:r>
          </w:p>
        </w:tc>
        <w:tc>
          <w:tcPr>
            <w:tcW w:w="82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Accounts and notes receivable-trade, net</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Inventories, net</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Prepaid expenses and other current assets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 noncurrent assets</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1 </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Accounts payable</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Accrued liabilities</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(38)</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Income taxes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 noncurrent liabilities</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(73)</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Net cash provided by operating activities</w:t>
            </w:r>
          </w:p>
        </w:tc>
        <w:tc>
          <w:tcPr>
            <w:tcW w:w="7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139 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55 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CDFFC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Cash flows from investing activities:</w:t>
            </w:r>
          </w:p>
        </w:tc>
        <w:tc>
          <w:tcPr>
            <w:tcW w:w="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Capital expenditures</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(96)</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(51)</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received on derivative contracts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paid on derivative contracts</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investment hedge settlements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Proceeds from sale of property, plant, and equipment</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1 </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 investing activities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Net cash used in investing activities</w:t>
            </w:r>
          </w:p>
        </w:tc>
        <w:tc>
          <w:tcPr>
            <w:tcW w:w="705"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(92)</w:t>
            </w:r>
          </w:p>
        </w:tc>
        <w:tc>
          <w:tcPr>
            <w:tcW w:w="124"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(51)</w:t>
            </w:r>
          </w:p>
        </w:tc>
        <w:tc>
          <w:tcPr>
            <w:tcW w:w="176"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Cash flows from financing activities:</w:t>
            </w:r>
          </w:p>
        </w:tc>
        <w:tc>
          <w:tcPr>
            <w:tcW w:w="82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paid for treasury stock</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Proceeds from 364-day bridge loan</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435 </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Repayment of 364-day bridge loan</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Repayments on short-term borrowings</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(413)</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dividends paid</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Proceeds from long-term borrowings</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550 </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Repayments on long-term borrowings</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paid for deferred financing costs</w:t>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881" w:type="dxa"/>
            <w:gridSpan w:val="3"/>
            <w:tcBorders/>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Other financing activities, net</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Net cash (used in) provided by financing activities</w:t>
            </w:r>
          </w:p>
        </w:tc>
        <w:tc>
          <w:tcPr>
            <w:tcW w:w="705"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(130)</w:t>
            </w:r>
          </w:p>
        </w:tc>
        <w:tc>
          <w:tcPr>
            <w:tcW w:w="124"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55 </w:t>
            </w:r>
          </w:p>
        </w:tc>
        <w:tc>
          <w:tcPr>
            <w:tcW w:w="176"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Effect of exchange rate changes on cash and cash equivalents</w:t>
            </w:r>
          </w:p>
        </w:tc>
        <w:tc>
          <w:tcPr>
            <w:tcW w:w="7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(decrease) increase in cash and cash equivalents</w:t>
            </w:r>
          </w:p>
        </w:tc>
        <w:tc>
          <w:tcPr>
            <w:tcW w:w="705"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(87)</w:t>
            </w:r>
          </w:p>
        </w:tc>
        <w:tc>
          <w:tcPr>
            <w:tcW w:w="124"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87 </w:t>
            </w:r>
          </w:p>
        </w:tc>
        <w:tc>
          <w:tcPr>
            <w:tcW w:w="176"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and cash equivalents at beginning of period</w:t>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Cash and cash equivalents at end of period</w:t>
            </w:r>
          </w:p>
        </w:tc>
        <w:tc>
          <w:tcPr>
            <w:tcW w:w="224"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8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239 </w:t>
            </w:r>
          </w:p>
        </w:tc>
        <w:tc>
          <w:tcPr>
            <w:tcW w:w="124"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8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359 </w:t>
            </w:r>
          </w:p>
        </w:tc>
        <w:tc>
          <w:tcPr>
            <w:tcW w:w="176"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Supplemental disclosures of cash flow information:</w:t>
            </w:r>
          </w:p>
        </w:tc>
        <w:tc>
          <w:tcPr>
            <w:tcW w:w="82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Interest paid, net of amounts capitalized</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Non-cash investing activities:</w:t>
            </w:r>
          </w:p>
        </w:tc>
        <w:tc>
          <w:tcPr>
            <w:tcW w:w="82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Property, plant and equipment in accounts payable at end of period</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Exchange of inventory for naming and other rights</w:t>
            </w:r>
          </w:p>
        </w:tc>
        <w:tc>
          <w:tcPr>
            <w:tcW w:w="22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8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48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14 </w:t>
            </w:r>
          </w:p>
        </w:tc>
        <w:tc>
          <w:tcPr>
            <w:tcW w:w="17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Montserrat;sans-serif" w:hAnsi="Montserrat;sans-serif"/>
          <w:b/>
          <w:color w:val="000000"/>
          <w:sz w:val="20"/>
          <w:u w:val="single"/>
        </w:rPr>
      </w:pPr>
      <w:r>
        <w:rPr>
          <w:rFonts w:ascii="Montserrat;sans-serif" w:hAnsi="Montserrat;sans-serif"/>
          <w:b/>
          <w:color w:val="000000"/>
          <w:sz w:val="20"/>
          <w:u w:val="single"/>
        </w:rPr>
        <w:t>Supplemental Information – Reconciliation of GAAP to Non-GAAP Financial Measures</w:t>
      </w:r>
    </w:p>
    <w:p>
      <w:pPr>
        <w:pStyle w:val="TextBody"/>
        <w:bidi w:val="0"/>
        <w:spacing w:before="0" w:after="0"/>
        <w:jc w:val="left"/>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 xml:space="preserve">We supplement the reporting of our financial information determined under accounting principles generally accepted in the United States ("GAAP") with certain non-GAAP financial measures, including percentage sales growth in constant currency; adjusted gross profit; adjusted gross profit as a percent of net sales ("Adjusted Gross Margin"); adjusted operating income; adjusted operating income as a percent of net sales ("Adjusted Operating Margin"); adjusted earnings before interest expense, income taxes, depreciation and amortization ("Adjusted EBITDA"); Adjusted EBITDA as a percent of net sales ("Adjusted EBITDA Margin"); adjusted net income (loss); adjusted earnings (loss) per diluted share ("Adjusted EPS"); and Free Cash Flow. These non-GAAP financial measures are used by the Company to measure its performance and management believes these non-GAAP financial measures provide meaningful information to assist investors and shareholders in understanding our financial results and assessing our prospects for future performance. Management believes percentage sales growth in constant currency and the other adjusted measures described above are important indicators of our operations because they exclude items that may not be indicative of or are unrelated to our core operating results and provide a baseline for analyzing trends in our underlying businesses. Management uses these non-GAAP financial measures for reviewing the operating results of reportable business segments and analyzing potential future business trends in connection with our budget process and bases certain management incentive compensation on these non-GAAP financial measures. </w:t>
      </w:r>
    </w:p>
    <w:p>
      <w:pPr>
        <w:pStyle w:val="TextBody"/>
        <w:bidi w:val="0"/>
        <w:spacing w:before="0" w:after="0"/>
        <w:jc w:val="left"/>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The Company has defined the non-GAAP measures used by management as follows: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Montserrat;sans-serif" w:hAnsi="Montserrat;sans-serif"/>
          <w:b/>
          <w:i/>
          <w:color w:val="000000"/>
          <w:sz w:val="20"/>
        </w:rPr>
        <w:t>Constant Currency:</w:t>
      </w:r>
      <w:r>
        <w:rPr>
          <w:color w:val="000000"/>
        </w:rPr>
        <w:t xml:space="preserve"> </w:t>
      </w:r>
      <w:r>
        <w:rPr>
          <w:rFonts w:ascii="Montserrat;sans-serif" w:hAnsi="Montserrat;sans-serif"/>
          <w:b w:val="false"/>
          <w:color w:val="000000"/>
          <w:sz w:val="20"/>
        </w:rPr>
        <w:t>reported net sales adjusted for the impact of foreign currency changes, which is calculated by translating current period net sales using the comparable period's foreign currency exchange rates.</w:t>
      </w:r>
    </w:p>
    <w:p>
      <w:pPr>
        <w:pStyle w:val="TextBody"/>
        <w:bidi w:val="0"/>
        <w:spacing w:lineRule="auto" w:line="288" w:before="0" w:after="0"/>
        <w:ind w:left="0" w:right="0" w:hanging="360"/>
        <w:jc w:val="both"/>
        <w:rPr/>
      </w:pPr>
      <w:r>
        <w:rPr>
          <w:color w:val="000000"/>
        </w:rPr>
        <w:t>•</w:t>
      </w:r>
      <w:r>
        <w:rPr>
          <w:rFonts w:ascii="Montserrat;sans-serif" w:hAnsi="Montserrat;sans-serif"/>
          <w:b/>
          <w:i/>
          <w:color w:val="000000"/>
          <w:sz w:val="20"/>
        </w:rPr>
        <w:t xml:space="preserve">Adjusted Operating Income and Margin: </w:t>
      </w:r>
      <w:r>
        <w:rPr>
          <w:rFonts w:ascii="Montserrat;sans-serif" w:hAnsi="Montserrat;sans-serif"/>
          <w:b w:val="false"/>
          <w:color w:val="000000"/>
          <w:sz w:val="20"/>
        </w:rPr>
        <w:t>Adjusted operating income is computed by excluding the following items from operating income (loss) as reported in accordance with US GAAP. Adjusted operating margin is calculated by dividing adjusted operating income by net sales.</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u w:val="single"/>
        </w:rPr>
        <w:t>Business combination-related costs</w:t>
      </w:r>
      <w:r>
        <w:rPr>
          <w:rFonts w:ascii="Montserrat;sans-serif" w:hAnsi="Montserrat;sans-serif"/>
          <w:b w:val="false"/>
          <w:color w:val="000000"/>
          <w:sz w:val="20"/>
        </w:rPr>
        <w:t xml:space="preserve">: costs related to consummating and integrating acquired businesses, as well as net gains and losses related to disposed businesses. Costs include the post-acquisition roll-off of fair value adjustments recorded related to business combinations, except for amortization expense of purchased intangible assets noted below. </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u w:val="single"/>
        </w:rPr>
        <w:t>Restructuring-related charges and other costs</w:t>
      </w:r>
      <w:r>
        <w:rPr>
          <w:rFonts w:ascii="Montserrat;sans-serif" w:hAnsi="Montserrat;sans-serif"/>
          <w:b w:val="false"/>
          <w:color w:val="000000"/>
          <w:sz w:val="20"/>
        </w:rPr>
        <w:t>: costs related to the implementation of restructuring initiatives, including but not limited to, severance costs, facility closure costs, and lease and contract termination costs, as well as related professional service costs associated with these restructuring initiatives and global transformation activity. Other costs include gains and losses on the sale of property, legal settlements, executive separation costs, write-offs of inventory as a result of product rationalization, and changes in accounting principles recorded within the period. This category also includes costs related to investigations and associated legal cases and remediation activities, which primarily include legal, accounting and other professional service fees, as well as turnover and other employee-related costs.</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u w:val="single"/>
        </w:rPr>
        <w:t>Goodwill and intangible asset impairments</w:t>
      </w:r>
      <w:r>
        <w:rPr>
          <w:rFonts w:ascii="Montserrat;sans-serif" w:hAnsi="Montserrat;sans-serif"/>
          <w:b w:val="false"/>
          <w:color w:val="000000"/>
          <w:sz w:val="20"/>
        </w:rPr>
        <w:t>: include charges related to goodwill and intangible asset impairments.</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u w:val="single"/>
        </w:rPr>
        <w:t>Amortization of purchased intangible assets</w:t>
      </w:r>
      <w:r>
        <w:rPr>
          <w:rFonts w:ascii="Montserrat;sans-serif" w:hAnsi="Montserrat;sans-serif"/>
          <w:b w:val="false"/>
          <w:color w:val="000000"/>
          <w:sz w:val="20"/>
        </w:rPr>
        <w:t>: includes the periodic amortization expense related to purchased intangible assets, which are recorded at fair value.</w:t>
      </w:r>
    </w:p>
    <w:p>
      <w:pPr>
        <w:pStyle w:val="TextBody"/>
        <w:bidi w:val="0"/>
        <w:spacing w:lineRule="auto" w:line="288" w:before="0" w:after="0"/>
        <w:ind w:left="0" w:right="0" w:hanging="360"/>
        <w:jc w:val="both"/>
        <w:rPr/>
      </w:pPr>
      <w:r>
        <w:rPr>
          <w:color w:val="000000"/>
        </w:rPr>
        <w:t>◦</w:t>
      </w:r>
      <w:r>
        <w:rPr>
          <w:rFonts w:ascii="Montserrat;sans-serif" w:hAnsi="Montserrat;sans-serif"/>
          <w:b w:val="false"/>
          <w:color w:val="000000"/>
          <w:sz w:val="20"/>
          <w:u w:val="single"/>
        </w:rPr>
        <w:t>Fair value and credit risk adjustments</w:t>
      </w:r>
      <w:r>
        <w:rPr>
          <w:rFonts w:ascii="Montserrat;sans-serif" w:hAnsi="Montserrat;sans-serif"/>
          <w:b w:val="false"/>
          <w:color w:val="000000"/>
          <w:sz w:val="20"/>
        </w:rPr>
        <w:t xml:space="preserve">: include the non-cash mark-to-market changes in fair value associated with pension assets and obligations, the credit risk component of hedging instruments, contingent consideration from past acquisitions, and equity-method investments. </w:t>
      </w:r>
    </w:p>
    <w:p>
      <w:pPr>
        <w:pStyle w:val="TextBody"/>
        <w:bidi w:val="0"/>
        <w:spacing w:lineRule="auto" w:line="288" w:before="0" w:after="0"/>
        <w:ind w:left="0" w:right="0" w:hanging="360"/>
        <w:jc w:val="both"/>
        <w:rPr/>
      </w:pPr>
      <w:r>
        <w:rPr>
          <w:color w:val="000000"/>
        </w:rPr>
        <w:t>•</w:t>
      </w:r>
      <w:r>
        <w:rPr>
          <w:rFonts w:ascii="Montserrat;sans-serif" w:hAnsi="Montserrat;sans-serif"/>
          <w:b/>
          <w:i/>
          <w:color w:val="000000"/>
          <w:sz w:val="20"/>
        </w:rPr>
        <w:t xml:space="preserve">Adjusted Gross Profit and Margin: </w:t>
      </w:r>
      <w:r>
        <w:rPr>
          <w:rFonts w:ascii="Montserrat;sans-serif" w:hAnsi="Montserrat;sans-serif"/>
          <w:b w:val="false"/>
          <w:color w:val="000000"/>
          <w:sz w:val="20"/>
        </w:rPr>
        <w:t>gross profit excluding the impact of any of the above adjustments that affect either net sales or cost of sales. Adjusted gross margin is calculated by dividing adjusted gross profit by net sales.</w:t>
      </w:r>
    </w:p>
    <w:p>
      <w:pPr>
        <w:pStyle w:val="TextBody"/>
        <w:bidi w:val="0"/>
        <w:spacing w:lineRule="auto" w:line="288"/>
        <w:ind w:left="0" w:right="0" w:hanging="360"/>
        <w:jc w:val="both"/>
        <w:rPr/>
      </w:pPr>
      <w:r>
        <w:rPr>
          <w:color w:val="000000"/>
        </w:rPr>
        <w:t>•</w:t>
      </w:r>
      <w:r>
        <w:rPr>
          <w:rFonts w:ascii="Montserrat;sans-serif" w:hAnsi="Montserrat;sans-serif"/>
          <w:b/>
          <w:i/>
          <w:color w:val="000000"/>
          <w:sz w:val="20"/>
        </w:rPr>
        <w:t xml:space="preserve">Adjusted Net Income (Loss): </w:t>
      </w:r>
      <w:r>
        <w:rPr>
          <w:rFonts w:ascii="Montserrat;sans-serif" w:hAnsi="Montserrat;sans-serif"/>
          <w:b w:val="false"/>
          <w:color w:val="000000"/>
          <w:sz w:val="20"/>
        </w:rPr>
        <w:t xml:space="preserve">net income (loss) as reported in accordance with US GAAP, adjusted to exclude the items identified above and the related income tax impacts of those </w:t>
      </w:r>
    </w:p>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items, as well as the tax effects of certain significant and discrete tax adjustments, including benefits and provisions related to changes in realization of deferred tax assets and tax credit carryforwards, as well as other events that affect comparability and are not core to our underlying operational performance.</w:t>
      </w:r>
    </w:p>
    <w:p>
      <w:pPr>
        <w:pStyle w:val="TextBody"/>
        <w:bidi w:val="0"/>
        <w:spacing w:lineRule="auto" w:line="288" w:before="0" w:after="0"/>
        <w:ind w:left="0" w:right="0" w:hanging="360"/>
        <w:jc w:val="both"/>
        <w:rPr/>
      </w:pPr>
      <w:r>
        <w:rPr>
          <w:color w:val="000000"/>
        </w:rPr>
        <w:t>•</w:t>
      </w:r>
      <w:r>
        <w:rPr>
          <w:rFonts w:ascii="Montserrat;sans-serif" w:hAnsi="Montserrat;sans-serif"/>
          <w:b/>
          <w:i/>
          <w:color w:val="000000"/>
          <w:sz w:val="20"/>
        </w:rPr>
        <w:t xml:space="preserve">Adjusted EBITDA and Margin: </w:t>
      </w:r>
      <w:r>
        <w:rPr>
          <w:rFonts w:ascii="Montserrat;sans-serif" w:hAnsi="Montserrat;sans-serif"/>
          <w:b w:val="false"/>
          <w:color w:val="000000"/>
          <w:sz w:val="20"/>
        </w:rPr>
        <w:t>in addition to the adjustments described above in arriving at adjusted net income, adjusted EBITDA is computed by further excluding any remaining interest expense, net, income tax expense, depreciation and amortization. Adjusted EBITDA margin is calculated by dividing adjusted EBITDA by net sales.</w:t>
      </w:r>
    </w:p>
    <w:p>
      <w:pPr>
        <w:pStyle w:val="TextBody"/>
        <w:bidi w:val="0"/>
        <w:spacing w:lineRule="auto" w:line="288" w:before="0" w:after="0"/>
        <w:ind w:left="0" w:right="0" w:hanging="360"/>
        <w:jc w:val="both"/>
        <w:rPr/>
      </w:pPr>
      <w:r>
        <w:rPr>
          <w:color w:val="000000"/>
        </w:rPr>
        <w:t>•</w:t>
      </w:r>
      <w:r>
        <w:rPr>
          <w:rFonts w:ascii="Montserrat;sans-serif" w:hAnsi="Montserrat;sans-serif"/>
          <w:b/>
          <w:i/>
          <w:color w:val="000000"/>
          <w:sz w:val="20"/>
        </w:rPr>
        <w:t>Adjusted Earnings (Loss) Per Diluted Share:</w:t>
      </w:r>
      <w:r>
        <w:rPr>
          <w:color w:val="000000"/>
        </w:rPr>
        <w:t xml:space="preserve"> </w:t>
      </w:r>
      <w:r>
        <w:rPr>
          <w:rFonts w:ascii="Montserrat;sans-serif" w:hAnsi="Montserrat;sans-serif"/>
          <w:b w:val="false"/>
          <w:color w:val="000000"/>
          <w:sz w:val="20"/>
        </w:rPr>
        <w:t>computed by dividing adjusted earnings (loss) attributable to Dentsply Sirona stockholders by the diluted weighted average number of common shares outstanding.</w:t>
      </w:r>
    </w:p>
    <w:p>
      <w:pPr>
        <w:pStyle w:val="TextBody"/>
        <w:bidi w:val="0"/>
        <w:spacing w:lineRule="auto" w:line="288" w:before="0" w:after="0"/>
        <w:ind w:left="0" w:right="0" w:hanging="360"/>
        <w:jc w:val="both"/>
        <w:rPr/>
      </w:pPr>
      <w:r>
        <w:rPr>
          <w:color w:val="000000"/>
        </w:rPr>
        <w:t>•</w:t>
      </w:r>
      <w:r>
        <w:rPr>
          <w:rFonts w:ascii="Montserrat;sans-serif" w:hAnsi="Montserrat;sans-serif"/>
          <w:b/>
          <w:i/>
          <w:color w:val="000000"/>
          <w:sz w:val="20"/>
        </w:rPr>
        <w:t>Free Cash Flow:</w:t>
      </w:r>
      <w:r>
        <w:rPr>
          <w:color w:val="000000"/>
        </w:rPr>
        <w:t xml:space="preserve"> </w:t>
      </w:r>
      <w:r>
        <w:rPr>
          <w:rFonts w:ascii="Montserrat;sans-serif" w:hAnsi="Montserrat;sans-serif"/>
          <w:b w:val="false"/>
          <w:color w:val="000000"/>
          <w:sz w:val="20"/>
        </w:rPr>
        <w:t>net cash provided by operating activities minus capital expenditures during the same period.</w:t>
      </w:r>
    </w:p>
    <w:p>
      <w:pPr>
        <w:pStyle w:val="TextBody"/>
        <w:bidi w:val="0"/>
        <w:spacing w:before="0" w:after="0"/>
        <w:jc w:val="left"/>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 xml:space="preserve">Because non-GAAP financial measures are not standardized, it may not be possible to compare these financial measures with other companies' non-GAAP financial measures having the same or similar names. These adjusted financial measures should not be considered in isolation or as a substitute for the most directly comparable GAAP financial measures. These non-GAAP financial measures are an additional way of viewing aspects of our operations that, when viewed with our GAAP results and the reconciliations to corresponding GAAP financial measures below, provide a more complete understanding of our business. We strongly encourage investors and shareholders to review our financial statements and publicly-filed reports in their entirety and not to rely on any single financial measure. </w:t>
      </w:r>
    </w:p>
    <w:p>
      <w:pPr>
        <w:pStyle w:val="TextBody"/>
        <w:bidi w:val="0"/>
        <w:spacing w:before="0" w:after="0"/>
        <w:jc w:val="left"/>
        <w:rPr/>
      </w:pPr>
      <w:r>
        <w:rPr/>
      </w:r>
    </w:p>
    <w:p>
      <w:pPr>
        <w:pStyle w:val="TextBody"/>
        <w:bidi w:val="0"/>
        <w:spacing w:lineRule="auto" w:line="288" w:before="0" w:after="0"/>
        <w:jc w:val="both"/>
        <w:rPr>
          <w:rFonts w:ascii="Montserrat;sans-serif" w:hAnsi="Montserrat;sans-serif"/>
          <w:b w:val="false"/>
          <w:color w:val="000000"/>
          <w:sz w:val="20"/>
        </w:rPr>
      </w:pPr>
      <w:r>
        <w:rPr>
          <w:rFonts w:ascii="Montserrat;sans-serif" w:hAnsi="Montserrat;sans-serif"/>
          <w:b w:val="false"/>
          <w:color w:val="000000"/>
          <w:sz w:val="20"/>
        </w:rPr>
        <w:t>The following reconciles the non-GAAP financial measures discussed above with the most directly comparable GAAP financial measures. The weighted-average diluted shares outstanding used in the calculation of adjusted net earnings per diluted share are the same as those used in the calculation of reported net earnings per diluted share for the respective period. The weighted-average diluted shares outstanding used in the calculation of adjusted net loss per diluted share excludes potential dilutive common shares.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Arial;sans-serif" w:hAnsi="Arial;sans-serif"/>
          <w:b/>
          <w:color w:val="000000"/>
          <w:sz w:val="20"/>
        </w:rPr>
      </w:pPr>
      <w:r>
        <w:rPr>
          <w:rFonts w:ascii="Arial;sans-serif" w:hAnsi="Arial;sans-serif"/>
          <w:b/>
          <w:color w:val="000000"/>
          <w:sz w:val="20"/>
        </w:rPr>
        <w:t>DENTSPLY SIRONA INC. AND SUBSIDIARIES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per share amounts and percentages)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center"/>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Beginning in fiscal year 2026, the Company updated its definition of Adjusted Net Income (Loss), a non-GAAP financial measure, to include adjustments for certain significant and discrete tax items, including benefits and provisions related to changes in the realization of deferred tax assets and tax credit carryforwards, as well as other tax</w:t>
        <w:noBreakHyphen/>
        <w:t>related items that affect comparability and are not considered part of the Company's core operational performance. Prior-period information below has been updated to conform to current period presentation. A reconciliation of selected items as reported in the Condensed Consolidated Statements of Operations to adjusted Non-GAAP financial statements items are as follows:</w:t>
      </w: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385"/>
        <w:gridCol w:w="494"/>
        <w:gridCol w:w="440"/>
        <w:gridCol w:w="121"/>
        <w:gridCol w:w="121"/>
        <w:gridCol w:w="121"/>
        <w:gridCol w:w="121"/>
        <w:gridCol w:w="121"/>
        <w:gridCol w:w="121"/>
        <w:gridCol w:w="121"/>
        <w:gridCol w:w="121"/>
        <w:gridCol w:w="121"/>
        <w:gridCol w:w="223"/>
        <w:gridCol w:w="480"/>
        <w:gridCol w:w="292"/>
        <w:gridCol w:w="109"/>
        <w:gridCol w:w="109"/>
        <w:gridCol w:w="109"/>
        <w:gridCol w:w="556"/>
        <w:gridCol w:w="109"/>
        <w:gridCol w:w="109"/>
        <w:gridCol w:w="203"/>
        <w:gridCol w:w="436"/>
        <w:gridCol w:w="265"/>
        <w:gridCol w:w="109"/>
        <w:gridCol w:w="109"/>
        <w:gridCol w:w="109"/>
        <w:gridCol w:w="264"/>
        <w:gridCol w:w="447"/>
        <w:gridCol w:w="148"/>
        <w:gridCol w:w="109"/>
        <w:gridCol w:w="109"/>
        <w:gridCol w:w="109"/>
        <w:gridCol w:w="283"/>
        <w:gridCol w:w="609"/>
        <w:gridCol w:w="158"/>
        <w:gridCol w:w="109"/>
        <w:gridCol w:w="109"/>
        <w:gridCol w:w="109"/>
        <w:gridCol w:w="214"/>
        <w:gridCol w:w="509"/>
        <w:gridCol w:w="184"/>
      </w:tblGrid>
      <w:tr>
        <w:trPr/>
        <w:tc>
          <w:tcPr>
            <w:tcW w:w="138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Three Months Ended June 30, 2026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Provision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Income Attributable to Dentsply Sirona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Diluted Earnings per Share</w:t>
            </w:r>
          </w:p>
        </w:tc>
      </w:tr>
      <w:tr>
        <w:trPr/>
        <w:tc>
          <w:tcPr>
            <w:tcW w:w="2319" w:type="dxa"/>
            <w:gridSpan w:val="3"/>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Reported</w:t>
            </w:r>
          </w:p>
        </w:tc>
        <w:tc>
          <w:tcPr>
            <w:tcW w:w="36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493 </w:t>
            </w:r>
          </w:p>
        </w:tc>
        <w:tc>
          <w:tcPr>
            <w:tcW w:w="292"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82 </w:t>
            </w:r>
          </w:p>
        </w:tc>
        <w:tc>
          <w:tcPr>
            <w:tcW w:w="265"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7"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48"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8"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9"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0.18 </w:t>
            </w:r>
          </w:p>
        </w:tc>
        <w:tc>
          <w:tcPr>
            <w:tcW w:w="184"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Reported percent net sales</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Adjustments:</w:t>
            </w:r>
          </w:p>
        </w:tc>
        <w:tc>
          <w:tcPr>
            <w:tcW w:w="36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9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Purchased Intangible Assets</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Restructuring-Related Charges and Other Costs (a)</w:t>
            </w:r>
          </w:p>
        </w:tc>
        <w:tc>
          <w:tcPr>
            <w:tcW w:w="36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0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6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4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5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0.05 </w:t>
            </w:r>
          </w:p>
        </w:tc>
        <w:tc>
          <w:tcPr>
            <w:tcW w:w="18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Business Combination-Related Costs</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31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Tax-Related Adjustments (b)</w:t>
            </w:r>
          </w:p>
        </w:tc>
        <w:tc>
          <w:tcPr>
            <w:tcW w:w="36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0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4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5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0.11 </w:t>
            </w:r>
          </w:p>
        </w:tc>
        <w:tc>
          <w:tcPr>
            <w:tcW w:w="18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506 </w:t>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0.52 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percent net sales</w:t>
            </w:r>
          </w:p>
        </w:tc>
        <w:tc>
          <w:tcPr>
            <w:tcW w:w="36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03"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w:t>
            </w:r>
          </w:p>
        </w:tc>
        <w:tc>
          <w:tcPr>
            <w:tcW w:w="29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9"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w:t>
            </w:r>
          </w:p>
        </w:tc>
        <w:tc>
          <w:tcPr>
            <w:tcW w:w="265"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outstanding used in calculating diluted GAAP net income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0" w:type="dxa"/>
            <w:gridSpan w:val="22"/>
            <w:tcBorders/>
          </w:tcPr>
          <w:p>
            <w:pPr>
              <w:pStyle w:val="TableContents"/>
              <w:bidi w:val="0"/>
              <w:spacing w:before="0" w:after="283"/>
              <w:jc w:val="left"/>
              <w:rPr>
                <w:sz w:val="4"/>
                <w:szCs w:val="4"/>
              </w:rPr>
            </w:pPr>
            <w:r>
              <w:rPr>
                <w:sz w:val="4"/>
                <w:szCs w:val="4"/>
              </w:rPr>
            </w:r>
          </w:p>
        </w:tc>
      </w:tr>
      <w:tr>
        <w:trPr/>
        <w:tc>
          <w:tcPr>
            <w:tcW w:w="4403" w:type="dxa"/>
            <w:gridSpan w:val="15"/>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outstanding used in calculating diluted Non-GAAP net income per common share</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200.5 </w:t>
            </w:r>
          </w:p>
        </w:tc>
        <w:tc>
          <w:tcPr>
            <w:tcW w:w="109"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0" w:type="dxa"/>
            <w:gridSpan w:val="22"/>
            <w:tcBorders/>
          </w:tcPr>
          <w:p>
            <w:pPr>
              <w:pStyle w:val="TableContents"/>
              <w:bidi w:val="0"/>
              <w:spacing w:before="0" w:after="283"/>
              <w:jc w:val="left"/>
              <w:rPr>
                <w:sz w:val="4"/>
                <w:szCs w:val="4"/>
              </w:rPr>
            </w:pPr>
            <w:r>
              <w:rPr>
                <w:sz w:val="4"/>
                <w:szCs w:val="4"/>
              </w:rPr>
            </w:r>
          </w:p>
        </w:tc>
      </w:tr>
      <w:tr>
        <w:trPr/>
        <w:tc>
          <w:tcPr>
            <w:tcW w:w="440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 Restructuring</w:t>
              <w:noBreakHyphen/>
              <w:t>Related Charges and Other Costs includes costs from restructuring actions and the new global ERP system, partially offset by a $3 change in estimate for the 2026 restructuring plan. These amounts are on a pre-tax basis.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0" w:type="dxa"/>
            <w:gridSpan w:val="22"/>
            <w:tcBorders/>
          </w:tcPr>
          <w:p>
            <w:pPr>
              <w:pStyle w:val="TableContents"/>
              <w:bidi w:val="0"/>
              <w:spacing w:before="0" w:after="283"/>
              <w:jc w:val="left"/>
              <w:rPr>
                <w:sz w:val="4"/>
                <w:szCs w:val="4"/>
              </w:rPr>
            </w:pPr>
            <w:r>
              <w:rPr>
                <w:sz w:val="4"/>
                <w:szCs w:val="4"/>
              </w:rPr>
            </w:r>
          </w:p>
        </w:tc>
      </w:tr>
      <w:tr>
        <w:trPr/>
        <w:tc>
          <w:tcPr>
            <w:tcW w:w="2319"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7402" w:type="dxa"/>
            <w:gridSpan w:val="35"/>
            <w:tcBorders/>
          </w:tcPr>
          <w:p>
            <w:pPr>
              <w:pStyle w:val="TableContents"/>
              <w:bidi w:val="0"/>
              <w:spacing w:before="0" w:after="283"/>
              <w:jc w:val="left"/>
              <w:rPr>
                <w:sz w:val="4"/>
                <w:szCs w:val="4"/>
              </w:rPr>
            </w:pPr>
            <w:r>
              <w:rPr>
                <w:sz w:val="4"/>
                <w:szCs w:val="4"/>
              </w:rPr>
            </w:r>
          </w:p>
        </w:tc>
      </w:tr>
      <w:tr>
        <w:trPr/>
        <w:tc>
          <w:tcPr>
            <w:tcW w:w="5395" w:type="dxa"/>
            <w:gridSpan w:val="20"/>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 Income Tax-Related Adjustments includes adjustments for increased valuation allowances for the U.S. of $9, Switzerland of $7, Luxembourg of $5, Germany of $4, and other various tax adjustments.</w:t>
            </w:r>
          </w:p>
        </w:tc>
        <w:tc>
          <w:tcPr>
            <w:tcW w:w="4810" w:type="dxa"/>
            <w:gridSpan w:val="22"/>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Percentages are based on actual values and may not reconcile due to rounding.</w:t>
      </w:r>
    </w:p>
    <w:tbl>
      <w:tblPr>
        <w:tblW w:w="10205" w:type="dxa"/>
        <w:jc w:val="left"/>
        <w:tblInd w:w="0" w:type="dxa"/>
        <w:tblLayout w:type="fixed"/>
        <w:tblCellMar>
          <w:top w:w="28" w:type="dxa"/>
          <w:left w:w="28" w:type="dxa"/>
          <w:bottom w:w="28" w:type="dxa"/>
          <w:right w:w="28" w:type="dxa"/>
        </w:tblCellMar>
      </w:tblPr>
      <w:tblGrid>
        <w:gridCol w:w="1358"/>
        <w:gridCol w:w="468"/>
        <w:gridCol w:w="414"/>
        <w:gridCol w:w="119"/>
        <w:gridCol w:w="119"/>
        <w:gridCol w:w="119"/>
        <w:gridCol w:w="119"/>
        <w:gridCol w:w="119"/>
        <w:gridCol w:w="119"/>
        <w:gridCol w:w="119"/>
        <w:gridCol w:w="119"/>
        <w:gridCol w:w="119"/>
        <w:gridCol w:w="219"/>
        <w:gridCol w:w="471"/>
        <w:gridCol w:w="286"/>
        <w:gridCol w:w="110"/>
        <w:gridCol w:w="110"/>
        <w:gridCol w:w="110"/>
        <w:gridCol w:w="566"/>
        <w:gridCol w:w="110"/>
        <w:gridCol w:w="109"/>
        <w:gridCol w:w="206"/>
        <w:gridCol w:w="465"/>
        <w:gridCol w:w="275"/>
        <w:gridCol w:w="109"/>
        <w:gridCol w:w="109"/>
        <w:gridCol w:w="109"/>
        <w:gridCol w:w="223"/>
        <w:gridCol w:w="508"/>
        <w:gridCol w:w="124"/>
        <w:gridCol w:w="109"/>
        <w:gridCol w:w="109"/>
        <w:gridCol w:w="109"/>
        <w:gridCol w:w="289"/>
        <w:gridCol w:w="622"/>
        <w:gridCol w:w="161"/>
        <w:gridCol w:w="109"/>
        <w:gridCol w:w="109"/>
        <w:gridCol w:w="109"/>
        <w:gridCol w:w="217"/>
        <w:gridCol w:w="544"/>
        <w:gridCol w:w="188"/>
      </w:tblGrid>
      <w:tr>
        <w:trPr/>
        <w:tc>
          <w:tcPr>
            <w:tcW w:w="135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2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Three Months Ended June 30, 2025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Gross Profit</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Operating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(Benefit) Provision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 (Loss) Income Attributable to Dentsply Sirona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Diluted (Loss) Earnings per Share</w:t>
            </w:r>
          </w:p>
        </w:tc>
      </w:tr>
      <w:tr>
        <w:trPr/>
        <w:tc>
          <w:tcPr>
            <w:tcW w:w="2240" w:type="dxa"/>
            <w:gridSpan w:val="3"/>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Reported</w:t>
            </w:r>
          </w:p>
        </w:tc>
        <w:tc>
          <w:tcPr>
            <w:tcW w:w="35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490 </w:t>
            </w:r>
          </w:p>
        </w:tc>
        <w:tc>
          <w:tcPr>
            <w:tcW w:w="286"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5"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w:t>
            </w:r>
          </w:p>
        </w:tc>
        <w:tc>
          <w:tcPr>
            <w:tcW w:w="275"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8"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w:t>
            </w:r>
          </w:p>
        </w:tc>
        <w:tc>
          <w:tcPr>
            <w:tcW w:w="124"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2"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61"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4"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(0.22)</w:t>
            </w:r>
          </w:p>
        </w:tc>
        <w:tc>
          <w:tcPr>
            <w:tcW w:w="188"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Reported percent net sales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Adjustments:</w:t>
            </w:r>
          </w:p>
        </w:tc>
        <w:tc>
          <w:tcPr>
            <w:tcW w:w="35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7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Purchased Intangible Assets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Restructuring-Related Charges and Other Costs (a)</w:t>
            </w:r>
          </w:p>
        </w:tc>
        <w:tc>
          <w:tcPr>
            <w:tcW w:w="35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7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6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and Intangible Asset Impairments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Business Combination-Related Costs</w:t>
            </w:r>
          </w:p>
        </w:tc>
        <w:tc>
          <w:tcPr>
            <w:tcW w:w="35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8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7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6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0.01 </w:t>
            </w:r>
          </w:p>
        </w:tc>
        <w:tc>
          <w:tcPr>
            <w:tcW w:w="18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and Credit Risk Adjustments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Tax-Related Adjustments (b)</w:t>
            </w:r>
          </w:p>
        </w:tc>
        <w:tc>
          <w:tcPr>
            <w:tcW w:w="35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2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w:t>
            </w:r>
          </w:p>
        </w:tc>
        <w:tc>
          <w:tcPr>
            <w:tcW w:w="16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(0.54)</w:t>
            </w:r>
          </w:p>
        </w:tc>
        <w:tc>
          <w:tcPr>
            <w:tcW w:w="188"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523 </w:t>
            </w:r>
          </w:p>
        </w:tc>
        <w:tc>
          <w:tcPr>
            <w:tcW w:w="28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170 </w:t>
            </w:r>
          </w:p>
        </w:tc>
        <w:tc>
          <w:tcPr>
            <w:tcW w:w="2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0.52 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percent net sales</w:t>
            </w:r>
          </w:p>
        </w:tc>
        <w:tc>
          <w:tcPr>
            <w:tcW w:w="35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55.9</w:t>
            </w:r>
          </w:p>
        </w:tc>
        <w:tc>
          <w:tcPr>
            <w:tcW w:w="286"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3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275"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outstanding used in calculating diluted GAAP net loss per common share</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2" w:type="dxa"/>
            <w:gridSpan w:val="22"/>
            <w:tcBorders/>
          </w:tcPr>
          <w:p>
            <w:pPr>
              <w:pStyle w:val="TableContents"/>
              <w:bidi w:val="0"/>
              <w:spacing w:before="0" w:after="283"/>
              <w:jc w:val="left"/>
              <w:rPr>
                <w:sz w:val="4"/>
                <w:szCs w:val="4"/>
              </w:rPr>
            </w:pPr>
            <w:r>
              <w:rPr>
                <w:sz w:val="4"/>
                <w:szCs w:val="4"/>
              </w:rPr>
            </w:r>
          </w:p>
        </w:tc>
      </w:tr>
      <w:tr>
        <w:trPr/>
        <w:tc>
          <w:tcPr>
            <w:tcW w:w="4287" w:type="dxa"/>
            <w:gridSpan w:val="15"/>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common shares outstanding used in calculating diluted Non-GAAP net income per common share</w:t>
            </w:r>
          </w:p>
        </w:tc>
        <w:tc>
          <w:tcPr>
            <w:tcW w:w="33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199.9 </w:t>
            </w:r>
          </w:p>
        </w:tc>
        <w:tc>
          <w:tcPr>
            <w:tcW w:w="110"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2" w:type="dxa"/>
            <w:gridSpan w:val="22"/>
            <w:tcBorders/>
          </w:tcPr>
          <w:p>
            <w:pPr>
              <w:pStyle w:val="TableContents"/>
              <w:bidi w:val="0"/>
              <w:spacing w:before="0" w:after="283"/>
              <w:jc w:val="left"/>
              <w:rPr>
                <w:sz w:val="4"/>
                <w:szCs w:val="4"/>
              </w:rPr>
            </w:pPr>
            <w:r>
              <w:rPr>
                <w:sz w:val="4"/>
                <w:szCs w:val="4"/>
              </w:rPr>
            </w:r>
          </w:p>
        </w:tc>
      </w:tr>
      <w:tr>
        <w:trPr/>
        <w:tc>
          <w:tcPr>
            <w:tcW w:w="428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 Restructuring</w:t>
              <w:noBreakHyphen/>
              <w:t xml:space="preserve">Related Charges and Other Costs includes costs from various restructuring actions related to employee severance. Amounts are on a pre-tax basis.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2" w:type="dxa"/>
            <w:gridSpan w:val="22"/>
            <w:tcBorders/>
          </w:tcPr>
          <w:p>
            <w:pPr>
              <w:pStyle w:val="TableContents"/>
              <w:bidi w:val="0"/>
              <w:spacing w:before="0" w:after="283"/>
              <w:jc w:val="left"/>
              <w:rPr>
                <w:sz w:val="4"/>
                <w:szCs w:val="4"/>
              </w:rPr>
            </w:pPr>
            <w:r>
              <w:rPr>
                <w:sz w:val="4"/>
                <w:szCs w:val="4"/>
              </w:rPr>
            </w:r>
          </w:p>
        </w:tc>
      </w:tr>
      <w:tr>
        <w:trPr/>
        <w:tc>
          <w:tcPr>
            <w:tcW w:w="5293" w:type="dxa"/>
            <w:gridSpan w:val="20"/>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(b) Income Tax-Related Adjustments includes adjustments for decreased valuation allowances for Luxembourg of $7, along with increased valuation allowances for Switzerland of $36 and Germany of $10, and other various tax adjustments. </w:t>
            </w:r>
          </w:p>
        </w:tc>
        <w:tc>
          <w:tcPr>
            <w:tcW w:w="4912" w:type="dxa"/>
            <w:gridSpan w:val="22"/>
            <w:tcBorders/>
          </w:tcPr>
          <w:p>
            <w:pPr>
              <w:pStyle w:val="TableContents"/>
              <w:bidi w:val="0"/>
              <w:spacing w:before="0" w:after="283"/>
              <w:jc w:val="left"/>
              <w:rPr>
                <w:sz w:val="4"/>
                <w:szCs w:val="4"/>
              </w:rPr>
            </w:pPr>
            <w:r>
              <w:rPr>
                <w:sz w:val="4"/>
                <w:szCs w:val="4"/>
              </w:rPr>
            </w:r>
          </w:p>
        </w:tc>
      </w:tr>
    </w:tbl>
    <w:p>
      <w:pPr>
        <w:pStyle w:val="TextBody"/>
        <w:bidi w:val="0"/>
        <w:spacing w:lineRule="auto" w:line="264" w:before="60" w:after="283"/>
        <w:jc w:val="both"/>
        <w:rPr>
          <w:rFonts w:ascii="Arial;sans-serif" w:hAnsi="Arial;sans-serif"/>
          <w:b w:val="false"/>
          <w:color w:val="000000"/>
          <w:sz w:val="12"/>
        </w:rPr>
      </w:pPr>
      <w:r>
        <w:rPr>
          <w:rFonts w:ascii="Arial;sans-serif" w:hAnsi="Arial;sans-serif"/>
          <w:b w:val="false"/>
          <w:color w:val="000000"/>
          <w:sz w:val="12"/>
        </w:rPr>
        <w:t>Percentages are based on actual values and may not reconcile due to rounding.</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DENTSPLY SIRONA INC. AND SUBSIDIARIES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millions, except per share amounts and percentages)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Reconciliations of reported net income (loss) attributable to Dentsply Sirona to adjusted EBITDA and margin are as follows:</w:t>
      </w:r>
    </w:p>
    <w:p>
      <w:pPr>
        <w:pStyle w:val="TextBody"/>
        <w:bidi w:val="0"/>
        <w:spacing w:before="0" w:after="0"/>
        <w:jc w:val="left"/>
        <w:rPr/>
      </w:pPr>
      <w:r>
        <w:rPr/>
      </w:r>
    </w:p>
    <w:tbl>
      <w:tblPr>
        <w:tblW w:w="8677" w:type="dxa"/>
        <w:jc w:val="left"/>
        <w:tblInd w:w="0" w:type="dxa"/>
        <w:tblLayout w:type="fixed"/>
        <w:tblCellMar>
          <w:top w:w="28" w:type="dxa"/>
          <w:left w:w="28" w:type="dxa"/>
          <w:bottom w:w="28" w:type="dxa"/>
          <w:right w:w="28" w:type="dxa"/>
        </w:tblCellMar>
      </w:tblPr>
      <w:tblGrid>
        <w:gridCol w:w="2020"/>
        <w:gridCol w:w="1774"/>
        <w:gridCol w:w="1786"/>
        <w:gridCol w:w="109"/>
        <w:gridCol w:w="109"/>
        <w:gridCol w:w="109"/>
        <w:gridCol w:w="251"/>
        <w:gridCol w:w="573"/>
        <w:gridCol w:w="341"/>
        <w:gridCol w:w="129"/>
        <w:gridCol w:w="129"/>
        <w:gridCol w:w="129"/>
        <w:gridCol w:w="251"/>
        <w:gridCol w:w="573"/>
        <w:gridCol w:w="394"/>
      </w:tblGrid>
      <w:tr>
        <w:trPr/>
        <w:tc>
          <w:tcPr>
            <w:tcW w:w="2020"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5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(loss) attributable to Dentsply Sirona</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3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394" w:type="dxa"/>
            <w:tcBorders/>
            <w:shd w:fill="CDFFCC"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58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(Benefit) provision for income taxes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3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w:t>
            </w:r>
          </w:p>
        </w:tc>
        <w:tc>
          <w:tcPr>
            <w:tcW w:w="39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90"/>
              <w:jc w:val="left"/>
              <w:rPr/>
            </w:pPr>
            <w:r>
              <w:rPr>
                <w:rFonts w:ascii="Arial;sans-serif" w:hAnsi="Arial;sans-serif"/>
                <w:b w:val="false"/>
                <w:color w:val="000000"/>
                <w:sz w:val="20"/>
              </w:rPr>
              <w:t>Depreciation</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58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3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394" w:type="dxa"/>
            <w:tcBorders/>
            <w:shd w:fill="CDFFCC"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Restructuring-related charges and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58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 and intangible asset impairments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394" w:type="dxa"/>
            <w:tcBorders/>
            <w:shd w:fill="CDFFCC"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Business combination-related costs and fair value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558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Fair value and credit risk adjustments </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94"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3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3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936 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w:t>
            </w:r>
          </w:p>
        </w:tc>
        <w:tc>
          <w:tcPr>
            <w:tcW w:w="341"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w:t>
            </w:r>
          </w:p>
        </w:tc>
        <w:tc>
          <w:tcPr>
            <w:tcW w:w="394"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(1) Excludes those depreciation-related amounts which were included as part of the business combination-related adjustments and Restructuring-related charges and other costs.</w:t>
      </w:r>
    </w:p>
    <w:p>
      <w:pPr>
        <w:pStyle w:val="TextBody"/>
        <w:bidi w:val="0"/>
        <w:spacing w:lineRule="auto" w:line="288" w:before="0" w:after="0"/>
        <w:jc w:val="left"/>
        <w:rPr>
          <w:rFonts w:ascii="Arial;sans-serif" w:hAnsi="Arial;sans-serif"/>
          <w:b w:val="false"/>
          <w:color w:val="000000"/>
          <w:sz w:val="12"/>
        </w:rPr>
      </w:pPr>
      <w:r>
        <w:rPr>
          <w:rFonts w:ascii="Arial;sans-serif" w:hAnsi="Arial;sans-serif"/>
          <w:b w:val="false"/>
          <w:color w:val="000000"/>
          <w:sz w:val="12"/>
        </w:rPr>
        <w:t>Percentages are based on actual values and may not reconcile due to rounding.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reconciliation of free cash flow for the three months ended June 30, 2026 and 2025 is as follows:</w:t>
      </w:r>
    </w:p>
    <w:p>
      <w:pPr>
        <w:pStyle w:val="TextBody"/>
        <w:bidi w:val="0"/>
        <w:spacing w:before="0" w:after="0"/>
        <w:jc w:val="left"/>
        <w:rPr/>
      </w:pPr>
      <w:r>
        <w:rPr/>
      </w:r>
    </w:p>
    <w:tbl>
      <w:tblPr>
        <w:tblW w:w="6759" w:type="dxa"/>
        <w:jc w:val="left"/>
        <w:tblInd w:w="0" w:type="dxa"/>
        <w:tblLayout w:type="fixed"/>
        <w:tblCellMar>
          <w:top w:w="28" w:type="dxa"/>
          <w:left w:w="28" w:type="dxa"/>
          <w:bottom w:w="28" w:type="dxa"/>
          <w:right w:w="28" w:type="dxa"/>
        </w:tblCellMar>
      </w:tblPr>
      <w:tblGrid>
        <w:gridCol w:w="1326"/>
        <w:gridCol w:w="1163"/>
        <w:gridCol w:w="1171"/>
        <w:gridCol w:w="109"/>
        <w:gridCol w:w="109"/>
        <w:gridCol w:w="109"/>
        <w:gridCol w:w="332"/>
        <w:gridCol w:w="591"/>
        <w:gridCol w:w="171"/>
        <w:gridCol w:w="171"/>
        <w:gridCol w:w="171"/>
        <w:gridCol w:w="171"/>
        <w:gridCol w:w="332"/>
        <w:gridCol w:w="591"/>
        <w:gridCol w:w="242"/>
      </w:tblGrid>
      <w:tr>
        <w:trPr/>
        <w:tc>
          <w:tcPr>
            <w:tcW w:w="1326"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June 30,</w:t>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3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71"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shd w:fill="CDFFCC"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242" w:type="dxa"/>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shd w:fill="CDFFCC"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Free cash flow</w:t>
            </w:r>
          </w:p>
        </w:tc>
        <w:tc>
          <w:tcPr>
            <w:tcW w:w="327"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71"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DFFC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1" w:type="dxa"/>
            <w:tcBorders>
              <w:top w:val="single" w:sz="8" w:space="0" w:color="000000"/>
            </w:tcBorders>
            <w:shd w:fill="CDFFCC"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242" w:type="dxa"/>
            <w:tcBorders>
              <w:top w:val="single" w:sz="8" w:space="0" w:color="000000"/>
            </w:tcBorders>
            <w:shd w:fill="CDFFC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r>
        <w:trPr/>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Montserrat">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4116</Words>
  <Characters>23234</Characters>
  <CharactersWithSpaces>26854</CharactersWithSpaces>
  <Paragraphs>821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